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0D35E951"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583B86">
        <w:rPr>
          <w:rFonts w:ascii="Arial" w:eastAsia="Montserrat" w:hAnsi="Arial" w:cs="Arial"/>
          <w:b/>
          <w:bCs/>
          <w:color w:val="FF0000"/>
          <w:sz w:val="24"/>
          <w:szCs w:val="24"/>
        </w:rPr>
        <w:t>2</w:t>
      </w:r>
      <w:r w:rsidR="00A62038">
        <w:rPr>
          <w:rFonts w:ascii="Arial" w:eastAsia="Montserrat" w:hAnsi="Arial" w:cs="Arial"/>
          <w:b/>
          <w:bCs/>
          <w:color w:val="FF0000"/>
          <w:sz w:val="24"/>
          <w:szCs w:val="24"/>
        </w:rPr>
        <w:t>5</w:t>
      </w:r>
      <w:r w:rsidR="00583B86">
        <w:rPr>
          <w:rFonts w:ascii="Arial" w:eastAsia="Montserrat" w:hAnsi="Arial" w:cs="Arial"/>
          <w:b/>
          <w:bCs/>
          <w:color w:val="FF0000"/>
          <w:sz w:val="24"/>
          <w:szCs w:val="24"/>
        </w:rPr>
        <w:t>-00</w:t>
      </w:r>
      <w:r w:rsidR="00506A9A">
        <w:rPr>
          <w:rFonts w:ascii="Arial" w:eastAsia="Montserrat" w:hAnsi="Arial" w:cs="Arial"/>
          <w:b/>
          <w:bCs/>
          <w:color w:val="FF0000"/>
          <w:sz w:val="24"/>
          <w:szCs w:val="24"/>
        </w:rPr>
        <w:t>6</w:t>
      </w:r>
      <w:r w:rsidR="005B56BB">
        <w:rPr>
          <w:rFonts w:ascii="Arial" w:eastAsia="Montserrat" w:hAnsi="Arial" w:cs="Arial"/>
          <w:b/>
          <w:bCs/>
          <w:color w:val="FF0000"/>
          <w:sz w:val="24"/>
          <w:szCs w:val="24"/>
        </w:rPr>
        <w:t>RH</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4030191F" w14:textId="503FF1DF" w:rsidR="00126246" w:rsidRDefault="00747F11" w:rsidP="003324ED">
      <w:pPr>
        <w:spacing w:after="0" w:line="240" w:lineRule="auto"/>
        <w:jc w:val="center"/>
        <w:rPr>
          <w:rFonts w:ascii="Arial" w:eastAsia="Times New Roman" w:hAnsi="Arial" w:cs="Arial"/>
          <w:b/>
          <w:bCs/>
          <w:iCs/>
          <w:sz w:val="28"/>
          <w:szCs w:val="28"/>
        </w:rPr>
      </w:pPr>
      <w:r w:rsidRPr="00747F11">
        <w:rPr>
          <w:rFonts w:ascii="Arial" w:eastAsia="Times New Roman" w:hAnsi="Arial" w:cs="Arial"/>
          <w:b/>
          <w:bCs/>
          <w:iCs/>
          <w:sz w:val="28"/>
          <w:szCs w:val="28"/>
        </w:rPr>
        <w:t>MARCHE PUBLIC DE</w:t>
      </w:r>
      <w:r w:rsidR="005B56BB">
        <w:t xml:space="preserve"> </w:t>
      </w:r>
      <w:r w:rsidR="007F2729">
        <w:rPr>
          <w:rFonts w:ascii="Arial" w:eastAsia="Times New Roman" w:hAnsi="Arial" w:cs="Arial"/>
          <w:b/>
          <w:bCs/>
          <w:iCs/>
          <w:sz w:val="28"/>
          <w:szCs w:val="28"/>
        </w:rPr>
        <w:t>TECHNIQUES DE L’INFORMATION ET DE LA COMMUNICATION</w:t>
      </w:r>
    </w:p>
    <w:p w14:paraId="45324280" w14:textId="77777777" w:rsidR="00747F11" w:rsidRPr="003324ED" w:rsidRDefault="00747F11"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CC0430">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1B4CE976" w14:textId="2412080B" w:rsidR="00126246" w:rsidRPr="007143D0" w:rsidRDefault="008B7E7F" w:rsidP="00126246">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0B311317" w14:textId="3218C8A9" w:rsidR="00612716" w:rsidRDefault="00B3487B" w:rsidP="00CC0430">
            <w:pPr>
              <w:widowControl w:val="0"/>
              <w:autoSpaceDE w:val="0"/>
              <w:autoSpaceDN w:val="0"/>
              <w:spacing w:after="0" w:line="240" w:lineRule="auto"/>
              <w:jc w:val="center"/>
              <w:rPr>
                <w:rFonts w:ascii="Arial" w:hAnsi="Arial" w:cs="Arial"/>
                <w:b/>
                <w:sz w:val="36"/>
                <w:szCs w:val="36"/>
                <w:lang w:eastAsia="fr-FR" w:bidi="fr-FR"/>
              </w:rPr>
            </w:pPr>
            <w:r w:rsidRPr="00CB4C0C">
              <w:rPr>
                <w:b/>
                <w:sz w:val="36"/>
                <w:szCs w:val="36"/>
              </w:rPr>
              <w:t xml:space="preserve">Prestation d’assistance utilisateur, support technique et accompagnement opérationnel à l'utilisation du logiciel </w:t>
            </w:r>
            <w:proofErr w:type="spellStart"/>
            <w:r w:rsidRPr="00CB4C0C">
              <w:rPr>
                <w:b/>
                <w:sz w:val="36"/>
                <w:szCs w:val="36"/>
              </w:rPr>
              <w:t>RenoiRH</w:t>
            </w:r>
            <w:proofErr w:type="spellEnd"/>
          </w:p>
          <w:p w14:paraId="06847FA6" w14:textId="77777777" w:rsidR="00612716" w:rsidRDefault="00612716" w:rsidP="00CC0430">
            <w:pPr>
              <w:widowControl w:val="0"/>
              <w:autoSpaceDE w:val="0"/>
              <w:autoSpaceDN w:val="0"/>
              <w:spacing w:after="0" w:line="240" w:lineRule="auto"/>
              <w:jc w:val="center"/>
              <w:rPr>
                <w:rFonts w:ascii="Arial" w:hAnsi="Arial" w:cs="Arial"/>
                <w:b/>
                <w:sz w:val="36"/>
                <w:szCs w:val="36"/>
                <w:lang w:eastAsia="fr-FR" w:bidi="fr-FR"/>
              </w:rPr>
            </w:pPr>
          </w:p>
          <w:p w14:paraId="138F50E0" w14:textId="20A2689B" w:rsidR="00612716" w:rsidRPr="00C01FF0" w:rsidRDefault="00612716" w:rsidP="00CF2D3D">
            <w:pPr>
              <w:widowControl w:val="0"/>
              <w:autoSpaceDE w:val="0"/>
              <w:autoSpaceDN w:val="0"/>
              <w:spacing w:after="0" w:line="240" w:lineRule="auto"/>
              <w:jc w:val="center"/>
              <w:rPr>
                <w:rFonts w:ascii="Arial" w:eastAsia="Arial" w:hAnsi="Arial" w:cs="Arial"/>
                <w:b/>
                <w:bCs/>
                <w:sz w:val="32"/>
                <w:szCs w:val="32"/>
                <w:lang w:eastAsia="fr-FR" w:bidi="fr-FR"/>
              </w:rPr>
            </w:pPr>
          </w:p>
        </w:tc>
      </w:tr>
    </w:tbl>
    <w:p w14:paraId="3689B440" w14:textId="25E2AC39" w:rsidR="00FD4446" w:rsidRPr="00A369C9" w:rsidRDefault="00FD4446" w:rsidP="00FD4446">
      <w:pPr>
        <w:spacing w:after="0"/>
        <w:ind w:right="2370"/>
        <w:jc w:val="both"/>
        <w:rPr>
          <w:rFonts w:ascii="Arial" w:eastAsia="Montserrat" w:hAnsi="Arial" w:cs="Arial"/>
          <w:sz w:val="24"/>
        </w:rPr>
      </w:pPr>
    </w:p>
    <w:p w14:paraId="70D1C969" w14:textId="4B63AD1E" w:rsidR="007907EA" w:rsidRPr="00A369C9"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270915C0" w14:textId="46F8E1EE" w:rsidR="00FD4446" w:rsidRPr="00A369C9" w:rsidRDefault="00126246" w:rsidP="005B56BB">
      <w:pPr>
        <w:ind w:left="109" w:right="-20"/>
        <w:jc w:val="center"/>
        <w:rPr>
          <w:rFonts w:ascii="Arial" w:hAnsi="Arial" w:cs="Arial"/>
          <w:sz w:val="12"/>
          <w:szCs w:val="12"/>
        </w:rPr>
      </w:pPr>
      <w:r w:rsidRPr="005B56BB">
        <w:rPr>
          <w:rFonts w:ascii="Arial" w:eastAsia="Montserrat" w:hAnsi="Arial" w:cs="Arial"/>
          <w:b/>
          <w:sz w:val="20"/>
          <w:szCs w:val="14"/>
        </w:rPr>
        <w:t xml:space="preserve">Marché passé </w:t>
      </w:r>
      <w:r w:rsidR="005B56BB" w:rsidRPr="00131CF9">
        <w:rPr>
          <w:rFonts w:eastAsia="Montserrat"/>
          <w:b/>
          <w:bCs/>
          <w:szCs w:val="16"/>
        </w:rPr>
        <w:t>en Appel d'offre ouvert en application des articles L.2124-2, R.2124-2 1° et R. 2161-2 à R. 2161-</w:t>
      </w:r>
      <w:r w:rsidR="00FE0FD1">
        <w:rPr>
          <w:rFonts w:eastAsia="Montserrat"/>
          <w:b/>
          <w:bCs/>
          <w:szCs w:val="16"/>
        </w:rPr>
        <w:t>5</w:t>
      </w:r>
      <w:r w:rsidR="005B56BB" w:rsidRPr="00131CF9">
        <w:rPr>
          <w:rFonts w:eastAsia="Montserrat"/>
          <w:b/>
          <w:bCs/>
          <w:szCs w:val="16"/>
        </w:rPr>
        <w:t xml:space="preserve"> du Code de la commande publique</w:t>
      </w:r>
      <w:r w:rsidR="005B56BB" w:rsidRPr="0087369D">
        <w:rPr>
          <w:rFonts w:eastAsia="Montserrat"/>
          <w:b/>
          <w:bCs/>
          <w:szCs w:val="16"/>
        </w:rPr>
        <w:t>.</w:t>
      </w:r>
    </w:p>
    <w:p w14:paraId="523BD13D" w14:textId="6BCEA32B" w:rsidR="00F85D0E"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42424F3D"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1D076C9"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5525CCF8"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F7532D1" w14:textId="77777777" w:rsidR="005B56BB" w:rsidRDefault="005B56BB" w:rsidP="00DC6F65">
      <w:pPr>
        <w:spacing w:before="5" w:after="0" w:line="240" w:lineRule="auto"/>
        <w:rPr>
          <w:rFonts w:ascii="Arial" w:eastAsia="Arial" w:hAnsi="Arial" w:cs="Arial"/>
          <w:sz w:val="12"/>
          <w:szCs w:val="12"/>
        </w:rPr>
      </w:pPr>
    </w:p>
    <w:p w14:paraId="1BD45C6D" w14:textId="77777777" w:rsidR="005B56BB" w:rsidRDefault="005B56BB" w:rsidP="00DC6F65">
      <w:pPr>
        <w:spacing w:before="5" w:after="0" w:line="240" w:lineRule="auto"/>
        <w:rPr>
          <w:rFonts w:ascii="Arial" w:eastAsia="Arial" w:hAnsi="Arial" w:cs="Arial"/>
          <w:sz w:val="12"/>
          <w:szCs w:val="12"/>
        </w:rPr>
      </w:pPr>
    </w:p>
    <w:p w14:paraId="0B7FF5B9" w14:textId="77777777" w:rsidR="005B56BB" w:rsidRDefault="005B56BB"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62472EF4" w14:textId="708E839C" w:rsidR="005B56BB"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6D28F7B1" w14:textId="65CC30D0" w:rsidR="001928A4"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89816668" w:history="1">
            <w:r w:rsidR="001928A4" w:rsidRPr="00DF3AF8">
              <w:rPr>
                <w:rStyle w:val="Lienhypertexte"/>
                <w:noProof/>
              </w:rPr>
              <w:t>1.</w:t>
            </w:r>
            <w:r w:rsidR="001928A4">
              <w:rPr>
                <w:rFonts w:asciiTheme="minorHAnsi" w:eastAsiaTheme="minorEastAsia" w:hAnsiTheme="minorHAnsi" w:cstheme="minorBidi"/>
                <w:noProof/>
                <w:lang w:eastAsia="fr-FR"/>
              </w:rPr>
              <w:tab/>
            </w:r>
            <w:r w:rsidR="001928A4" w:rsidRPr="00DF3AF8">
              <w:rPr>
                <w:rStyle w:val="Lienhypertexte"/>
                <w:noProof/>
              </w:rPr>
              <w:t>IDENTIFICATION DU POUVOIR ADJUDICATEUR</w:t>
            </w:r>
            <w:r w:rsidR="001928A4">
              <w:rPr>
                <w:noProof/>
                <w:webHidden/>
              </w:rPr>
              <w:tab/>
            </w:r>
            <w:r w:rsidR="001928A4">
              <w:rPr>
                <w:noProof/>
                <w:webHidden/>
              </w:rPr>
              <w:fldChar w:fldCharType="begin"/>
            </w:r>
            <w:r w:rsidR="001928A4">
              <w:rPr>
                <w:noProof/>
                <w:webHidden/>
              </w:rPr>
              <w:instrText xml:space="preserve"> PAGEREF _Toc189816668 \h </w:instrText>
            </w:r>
            <w:r w:rsidR="001928A4">
              <w:rPr>
                <w:noProof/>
                <w:webHidden/>
              </w:rPr>
            </w:r>
            <w:r w:rsidR="001928A4">
              <w:rPr>
                <w:noProof/>
                <w:webHidden/>
              </w:rPr>
              <w:fldChar w:fldCharType="separate"/>
            </w:r>
            <w:r w:rsidR="001928A4">
              <w:rPr>
                <w:noProof/>
                <w:webHidden/>
              </w:rPr>
              <w:t>3</w:t>
            </w:r>
            <w:r w:rsidR="001928A4">
              <w:rPr>
                <w:noProof/>
                <w:webHidden/>
              </w:rPr>
              <w:fldChar w:fldCharType="end"/>
            </w:r>
          </w:hyperlink>
        </w:p>
        <w:p w14:paraId="57B32B79" w14:textId="473AFFB9" w:rsidR="001928A4" w:rsidRDefault="00B30320">
          <w:pPr>
            <w:pStyle w:val="TM1"/>
            <w:rPr>
              <w:rFonts w:asciiTheme="minorHAnsi" w:eastAsiaTheme="minorEastAsia" w:hAnsiTheme="minorHAnsi" w:cstheme="minorBidi"/>
              <w:noProof/>
              <w:lang w:eastAsia="fr-FR"/>
            </w:rPr>
          </w:pPr>
          <w:hyperlink w:anchor="_Toc189816669" w:history="1">
            <w:r w:rsidR="001928A4" w:rsidRPr="00DF3AF8">
              <w:rPr>
                <w:rStyle w:val="Lienhypertexte"/>
                <w:noProof/>
              </w:rPr>
              <w:t>2.</w:t>
            </w:r>
            <w:r w:rsidR="001928A4">
              <w:rPr>
                <w:rFonts w:asciiTheme="minorHAnsi" w:eastAsiaTheme="minorEastAsia" w:hAnsiTheme="minorHAnsi" w:cstheme="minorBidi"/>
                <w:noProof/>
                <w:lang w:eastAsia="fr-FR"/>
              </w:rPr>
              <w:tab/>
            </w:r>
            <w:r w:rsidR="001928A4" w:rsidRPr="00DF3AF8">
              <w:rPr>
                <w:rStyle w:val="Lienhypertexte"/>
                <w:noProof/>
              </w:rPr>
              <w:t>COCONTRACTANTS</w:t>
            </w:r>
            <w:r w:rsidR="001928A4">
              <w:rPr>
                <w:noProof/>
                <w:webHidden/>
              </w:rPr>
              <w:tab/>
            </w:r>
            <w:r w:rsidR="001928A4">
              <w:rPr>
                <w:noProof/>
                <w:webHidden/>
              </w:rPr>
              <w:fldChar w:fldCharType="begin"/>
            </w:r>
            <w:r w:rsidR="001928A4">
              <w:rPr>
                <w:noProof/>
                <w:webHidden/>
              </w:rPr>
              <w:instrText xml:space="preserve"> PAGEREF _Toc189816669 \h </w:instrText>
            </w:r>
            <w:r w:rsidR="001928A4">
              <w:rPr>
                <w:noProof/>
                <w:webHidden/>
              </w:rPr>
            </w:r>
            <w:r w:rsidR="001928A4">
              <w:rPr>
                <w:noProof/>
                <w:webHidden/>
              </w:rPr>
              <w:fldChar w:fldCharType="separate"/>
            </w:r>
            <w:r w:rsidR="001928A4">
              <w:rPr>
                <w:noProof/>
                <w:webHidden/>
              </w:rPr>
              <w:t>3</w:t>
            </w:r>
            <w:r w:rsidR="001928A4">
              <w:rPr>
                <w:noProof/>
                <w:webHidden/>
              </w:rPr>
              <w:fldChar w:fldCharType="end"/>
            </w:r>
          </w:hyperlink>
        </w:p>
        <w:p w14:paraId="0F97A9A3" w14:textId="0F299383" w:rsidR="001928A4" w:rsidRDefault="00B30320">
          <w:pPr>
            <w:pStyle w:val="TM1"/>
            <w:rPr>
              <w:rFonts w:asciiTheme="minorHAnsi" w:eastAsiaTheme="minorEastAsia" w:hAnsiTheme="minorHAnsi" w:cstheme="minorBidi"/>
              <w:noProof/>
              <w:lang w:eastAsia="fr-FR"/>
            </w:rPr>
          </w:pPr>
          <w:hyperlink w:anchor="_Toc189816670" w:history="1">
            <w:r w:rsidR="001928A4" w:rsidRPr="00DF3AF8">
              <w:rPr>
                <w:rStyle w:val="Lienhypertexte"/>
                <w:noProof/>
              </w:rPr>
              <w:t>3.</w:t>
            </w:r>
            <w:r w:rsidR="001928A4">
              <w:rPr>
                <w:rFonts w:asciiTheme="minorHAnsi" w:eastAsiaTheme="minorEastAsia" w:hAnsiTheme="minorHAnsi" w:cstheme="minorBidi"/>
                <w:noProof/>
                <w:lang w:eastAsia="fr-FR"/>
              </w:rPr>
              <w:tab/>
            </w:r>
            <w:r w:rsidR="001928A4" w:rsidRPr="00DF3AF8">
              <w:rPr>
                <w:rStyle w:val="Lienhypertexte"/>
                <w:noProof/>
              </w:rPr>
              <w:t>OBJET DU MARCHE</w:t>
            </w:r>
            <w:r w:rsidR="001928A4">
              <w:rPr>
                <w:noProof/>
                <w:webHidden/>
              </w:rPr>
              <w:tab/>
            </w:r>
            <w:r w:rsidR="001928A4">
              <w:rPr>
                <w:noProof/>
                <w:webHidden/>
              </w:rPr>
              <w:fldChar w:fldCharType="begin"/>
            </w:r>
            <w:r w:rsidR="001928A4">
              <w:rPr>
                <w:noProof/>
                <w:webHidden/>
              </w:rPr>
              <w:instrText xml:space="preserve"> PAGEREF _Toc189816670 \h </w:instrText>
            </w:r>
            <w:r w:rsidR="001928A4">
              <w:rPr>
                <w:noProof/>
                <w:webHidden/>
              </w:rPr>
            </w:r>
            <w:r w:rsidR="001928A4">
              <w:rPr>
                <w:noProof/>
                <w:webHidden/>
              </w:rPr>
              <w:fldChar w:fldCharType="separate"/>
            </w:r>
            <w:r w:rsidR="001928A4">
              <w:rPr>
                <w:noProof/>
                <w:webHidden/>
              </w:rPr>
              <w:t>4</w:t>
            </w:r>
            <w:r w:rsidR="001928A4">
              <w:rPr>
                <w:noProof/>
                <w:webHidden/>
              </w:rPr>
              <w:fldChar w:fldCharType="end"/>
            </w:r>
          </w:hyperlink>
        </w:p>
        <w:p w14:paraId="48537C2D" w14:textId="5331EDA2" w:rsidR="001928A4" w:rsidRDefault="00B30320">
          <w:pPr>
            <w:pStyle w:val="TM1"/>
            <w:rPr>
              <w:rFonts w:asciiTheme="minorHAnsi" w:eastAsiaTheme="minorEastAsia" w:hAnsiTheme="minorHAnsi" w:cstheme="minorBidi"/>
              <w:noProof/>
              <w:lang w:eastAsia="fr-FR"/>
            </w:rPr>
          </w:pPr>
          <w:hyperlink w:anchor="_Toc189816671" w:history="1">
            <w:r w:rsidR="001928A4" w:rsidRPr="00DF3AF8">
              <w:rPr>
                <w:rStyle w:val="Lienhypertexte"/>
                <w:noProof/>
              </w:rPr>
              <w:t>4.</w:t>
            </w:r>
            <w:r w:rsidR="001928A4">
              <w:rPr>
                <w:rFonts w:asciiTheme="minorHAnsi" w:eastAsiaTheme="minorEastAsia" w:hAnsiTheme="minorHAnsi" w:cstheme="minorBidi"/>
                <w:noProof/>
                <w:lang w:eastAsia="fr-FR"/>
              </w:rPr>
              <w:tab/>
            </w:r>
            <w:r w:rsidR="001928A4" w:rsidRPr="00DF3AF8">
              <w:rPr>
                <w:rStyle w:val="Lienhypertexte"/>
                <w:noProof/>
              </w:rPr>
              <w:t>PRIX</w:t>
            </w:r>
            <w:r w:rsidR="001928A4">
              <w:rPr>
                <w:noProof/>
                <w:webHidden/>
              </w:rPr>
              <w:tab/>
            </w:r>
            <w:r w:rsidR="001928A4">
              <w:rPr>
                <w:noProof/>
                <w:webHidden/>
              </w:rPr>
              <w:fldChar w:fldCharType="begin"/>
            </w:r>
            <w:r w:rsidR="001928A4">
              <w:rPr>
                <w:noProof/>
                <w:webHidden/>
              </w:rPr>
              <w:instrText xml:space="preserve"> PAGEREF _Toc189816671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45CF9966" w14:textId="53A03EC8" w:rsidR="001928A4" w:rsidRDefault="00B30320">
          <w:pPr>
            <w:pStyle w:val="TM1"/>
            <w:rPr>
              <w:rFonts w:asciiTheme="minorHAnsi" w:eastAsiaTheme="minorEastAsia" w:hAnsiTheme="minorHAnsi" w:cstheme="minorBidi"/>
              <w:noProof/>
              <w:lang w:eastAsia="fr-FR"/>
            </w:rPr>
          </w:pPr>
          <w:hyperlink w:anchor="_Toc189816672" w:history="1">
            <w:r w:rsidR="001928A4" w:rsidRPr="00DF3AF8">
              <w:rPr>
                <w:rStyle w:val="Lienhypertexte"/>
                <w:noProof/>
              </w:rPr>
              <w:t>5.</w:t>
            </w:r>
            <w:r w:rsidR="001928A4">
              <w:rPr>
                <w:rFonts w:asciiTheme="minorHAnsi" w:eastAsiaTheme="minorEastAsia" w:hAnsiTheme="minorHAnsi" w:cstheme="minorBidi"/>
                <w:noProof/>
                <w:lang w:eastAsia="fr-FR"/>
              </w:rPr>
              <w:tab/>
            </w:r>
            <w:r w:rsidR="001928A4" w:rsidRPr="00DF3AF8">
              <w:rPr>
                <w:rStyle w:val="Lienhypertexte"/>
                <w:noProof/>
              </w:rPr>
              <w:t>DUREE du marché</w:t>
            </w:r>
            <w:r w:rsidR="001928A4">
              <w:rPr>
                <w:noProof/>
                <w:webHidden/>
              </w:rPr>
              <w:tab/>
            </w:r>
            <w:r w:rsidR="001928A4">
              <w:rPr>
                <w:noProof/>
                <w:webHidden/>
              </w:rPr>
              <w:fldChar w:fldCharType="begin"/>
            </w:r>
            <w:r w:rsidR="001928A4">
              <w:rPr>
                <w:noProof/>
                <w:webHidden/>
              </w:rPr>
              <w:instrText xml:space="preserve"> PAGEREF _Toc189816672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483CA9BB" w14:textId="79082EB8" w:rsidR="001928A4" w:rsidRDefault="00B30320">
          <w:pPr>
            <w:pStyle w:val="TM1"/>
            <w:rPr>
              <w:rFonts w:asciiTheme="minorHAnsi" w:eastAsiaTheme="minorEastAsia" w:hAnsiTheme="minorHAnsi" w:cstheme="minorBidi"/>
              <w:noProof/>
              <w:lang w:eastAsia="fr-FR"/>
            </w:rPr>
          </w:pPr>
          <w:hyperlink w:anchor="_Toc189816673" w:history="1">
            <w:r w:rsidR="001928A4" w:rsidRPr="00DF3AF8">
              <w:rPr>
                <w:rStyle w:val="Lienhypertexte"/>
                <w:noProof/>
              </w:rPr>
              <w:t>6.</w:t>
            </w:r>
            <w:r w:rsidR="001928A4">
              <w:rPr>
                <w:rFonts w:asciiTheme="minorHAnsi" w:eastAsiaTheme="minorEastAsia" w:hAnsiTheme="minorHAnsi" w:cstheme="minorBidi"/>
                <w:noProof/>
                <w:lang w:eastAsia="fr-FR"/>
              </w:rPr>
              <w:tab/>
            </w:r>
            <w:r w:rsidR="001928A4" w:rsidRPr="00DF3AF8">
              <w:rPr>
                <w:rStyle w:val="Lienhypertexte"/>
                <w:noProof/>
              </w:rPr>
              <w:t>PAIEMENT</w:t>
            </w:r>
            <w:r w:rsidR="001928A4">
              <w:rPr>
                <w:noProof/>
                <w:webHidden/>
              </w:rPr>
              <w:tab/>
            </w:r>
            <w:r w:rsidR="001928A4">
              <w:rPr>
                <w:noProof/>
                <w:webHidden/>
              </w:rPr>
              <w:fldChar w:fldCharType="begin"/>
            </w:r>
            <w:r w:rsidR="001928A4">
              <w:rPr>
                <w:noProof/>
                <w:webHidden/>
              </w:rPr>
              <w:instrText xml:space="preserve"> PAGEREF _Toc189816673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5A48564E" w14:textId="5352F1F1" w:rsidR="001928A4" w:rsidRDefault="00B30320">
          <w:pPr>
            <w:pStyle w:val="TM2"/>
            <w:rPr>
              <w:rFonts w:asciiTheme="minorHAnsi" w:eastAsiaTheme="minorEastAsia" w:hAnsiTheme="minorHAnsi" w:cstheme="minorBidi"/>
              <w:noProof/>
              <w:lang w:eastAsia="fr-FR"/>
            </w:rPr>
          </w:pPr>
          <w:hyperlink w:anchor="_Toc189816674" w:history="1">
            <w:r w:rsidR="001928A4" w:rsidRPr="00DF3AF8">
              <w:rPr>
                <w:rStyle w:val="Lienhypertexte"/>
                <w:noProof/>
              </w:rPr>
              <w:t>Désignation du (des) compte(s) à créditer</w:t>
            </w:r>
            <w:r w:rsidR="001928A4">
              <w:rPr>
                <w:noProof/>
                <w:webHidden/>
              </w:rPr>
              <w:tab/>
            </w:r>
            <w:r w:rsidR="001928A4">
              <w:rPr>
                <w:noProof/>
                <w:webHidden/>
              </w:rPr>
              <w:fldChar w:fldCharType="begin"/>
            </w:r>
            <w:r w:rsidR="001928A4">
              <w:rPr>
                <w:noProof/>
                <w:webHidden/>
              </w:rPr>
              <w:instrText xml:space="preserve"> PAGEREF _Toc189816674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2423D357" w14:textId="2EE916FC" w:rsidR="001928A4" w:rsidRDefault="00B30320">
          <w:pPr>
            <w:pStyle w:val="TM1"/>
            <w:rPr>
              <w:rFonts w:asciiTheme="minorHAnsi" w:eastAsiaTheme="minorEastAsia" w:hAnsiTheme="minorHAnsi" w:cstheme="minorBidi"/>
              <w:noProof/>
              <w:lang w:eastAsia="fr-FR"/>
            </w:rPr>
          </w:pPr>
          <w:hyperlink w:anchor="_Toc189816675" w:history="1">
            <w:r w:rsidR="001928A4" w:rsidRPr="00DF3AF8">
              <w:rPr>
                <w:rStyle w:val="Lienhypertexte"/>
                <w:noProof/>
              </w:rPr>
              <w:t>7.</w:t>
            </w:r>
            <w:r w:rsidR="001928A4">
              <w:rPr>
                <w:rFonts w:asciiTheme="minorHAnsi" w:eastAsiaTheme="minorEastAsia" w:hAnsiTheme="minorHAnsi" w:cstheme="minorBidi"/>
                <w:noProof/>
                <w:lang w:eastAsia="fr-FR"/>
              </w:rPr>
              <w:tab/>
            </w:r>
            <w:r w:rsidR="001928A4" w:rsidRPr="00DF3AF8">
              <w:rPr>
                <w:rStyle w:val="Lienhypertexte"/>
                <w:noProof/>
              </w:rPr>
              <w:t>SIGNATURE PAR LE TITULAIRE</w:t>
            </w:r>
            <w:r w:rsidR="001928A4">
              <w:rPr>
                <w:noProof/>
                <w:webHidden/>
              </w:rPr>
              <w:tab/>
            </w:r>
            <w:r w:rsidR="001928A4">
              <w:rPr>
                <w:noProof/>
                <w:webHidden/>
              </w:rPr>
              <w:fldChar w:fldCharType="begin"/>
            </w:r>
            <w:r w:rsidR="001928A4">
              <w:rPr>
                <w:noProof/>
                <w:webHidden/>
              </w:rPr>
              <w:instrText xml:space="preserve"> PAGEREF _Toc189816675 \h </w:instrText>
            </w:r>
            <w:r w:rsidR="001928A4">
              <w:rPr>
                <w:noProof/>
                <w:webHidden/>
              </w:rPr>
            </w:r>
            <w:r w:rsidR="001928A4">
              <w:rPr>
                <w:noProof/>
                <w:webHidden/>
              </w:rPr>
              <w:fldChar w:fldCharType="separate"/>
            </w:r>
            <w:r w:rsidR="001928A4">
              <w:rPr>
                <w:noProof/>
                <w:webHidden/>
              </w:rPr>
              <w:t>6</w:t>
            </w:r>
            <w:r w:rsidR="001928A4">
              <w:rPr>
                <w:noProof/>
                <w:webHidden/>
              </w:rPr>
              <w:fldChar w:fldCharType="end"/>
            </w:r>
          </w:hyperlink>
        </w:p>
        <w:p w14:paraId="0D6F84C1" w14:textId="2F0116F7" w:rsidR="001928A4" w:rsidRDefault="00B30320">
          <w:pPr>
            <w:pStyle w:val="TM1"/>
            <w:rPr>
              <w:rFonts w:asciiTheme="minorHAnsi" w:eastAsiaTheme="minorEastAsia" w:hAnsiTheme="minorHAnsi" w:cstheme="minorBidi"/>
              <w:noProof/>
              <w:lang w:eastAsia="fr-FR"/>
            </w:rPr>
          </w:pPr>
          <w:hyperlink w:anchor="_Toc189816676" w:history="1">
            <w:r w:rsidR="001928A4" w:rsidRPr="00DF3AF8">
              <w:rPr>
                <w:rStyle w:val="Lienhypertexte"/>
                <w:noProof/>
              </w:rPr>
              <w:t>8.</w:t>
            </w:r>
            <w:r w:rsidR="001928A4">
              <w:rPr>
                <w:rFonts w:asciiTheme="minorHAnsi" w:eastAsiaTheme="minorEastAsia" w:hAnsiTheme="minorHAnsi" w:cstheme="minorBidi"/>
                <w:noProof/>
                <w:lang w:eastAsia="fr-FR"/>
              </w:rPr>
              <w:tab/>
            </w:r>
            <w:r w:rsidR="001928A4" w:rsidRPr="00DF3AF8">
              <w:rPr>
                <w:rStyle w:val="Lienhypertexte"/>
                <w:noProof/>
              </w:rPr>
              <w:t>DECISION DU POUVOIR ADJUDICATEUR</w:t>
            </w:r>
            <w:r w:rsidR="001928A4">
              <w:rPr>
                <w:noProof/>
                <w:webHidden/>
              </w:rPr>
              <w:tab/>
            </w:r>
            <w:r w:rsidR="001928A4">
              <w:rPr>
                <w:noProof/>
                <w:webHidden/>
              </w:rPr>
              <w:fldChar w:fldCharType="begin"/>
            </w:r>
            <w:r w:rsidR="001928A4">
              <w:rPr>
                <w:noProof/>
                <w:webHidden/>
              </w:rPr>
              <w:instrText xml:space="preserve"> PAGEREF _Toc189816676 \h </w:instrText>
            </w:r>
            <w:r w:rsidR="001928A4">
              <w:rPr>
                <w:noProof/>
                <w:webHidden/>
              </w:rPr>
            </w:r>
            <w:r w:rsidR="001928A4">
              <w:rPr>
                <w:noProof/>
                <w:webHidden/>
              </w:rPr>
              <w:fldChar w:fldCharType="separate"/>
            </w:r>
            <w:r w:rsidR="001928A4">
              <w:rPr>
                <w:noProof/>
                <w:webHidden/>
              </w:rPr>
              <w:t>6</w:t>
            </w:r>
            <w:r w:rsidR="001928A4">
              <w:rPr>
                <w:noProof/>
                <w:webHidden/>
              </w:rPr>
              <w:fldChar w:fldCharType="end"/>
            </w:r>
          </w:hyperlink>
        </w:p>
        <w:p w14:paraId="09DF0164" w14:textId="5A274A7A"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89816668"/>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06E7E9BD" w14:textId="77777777" w:rsidR="00583B86" w:rsidRDefault="00583B86"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2B059C4F"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032ED8">
        <w:rPr>
          <w:rFonts w:ascii="Arial" w:eastAsia="Montserrat" w:hAnsi="Arial" w:cs="Arial"/>
          <w:sz w:val="20"/>
          <w:szCs w:val="20"/>
        </w:rPr>
        <w:t xml:space="preserve"> et des Crous</w:t>
      </w:r>
      <w:r w:rsidR="005B56BB">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89816669"/>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sidRPr="00026C70">
        <w:rPr>
          <w:rFonts w:ascii="Arial" w:hAnsi="Arial" w:cs="Arial"/>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6DA67F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w:t>
      </w:r>
      <w:r w:rsidR="008A3E80">
        <w:rPr>
          <w:rFonts w:ascii="Arial" w:hAnsi="Arial" w:cs="Arial"/>
          <w:color w:val="000000"/>
          <w:sz w:val="20"/>
          <w:szCs w:val="20"/>
        </w:rPr>
        <w:t>T</w:t>
      </w:r>
      <w:r w:rsidR="00823353">
        <w:rPr>
          <w:rFonts w:ascii="Arial" w:hAnsi="Arial" w:cs="Arial"/>
          <w:color w:val="000000"/>
          <w:sz w:val="20"/>
          <w:szCs w:val="20"/>
        </w:rPr>
        <w: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02538C"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BD379B">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89816670"/>
      <w:r>
        <w:t>OBJET DU MARCHE</w:t>
      </w:r>
      <w:bookmarkEnd w:id="4"/>
    </w:p>
    <w:p w14:paraId="057838B1" w14:textId="77777777" w:rsidR="007B435C" w:rsidRPr="008B438A" w:rsidRDefault="007B435C" w:rsidP="007B435C">
      <w:pPr>
        <w:spacing w:before="100" w:beforeAutospacing="1" w:after="100" w:afterAutospacing="1" w:line="240" w:lineRule="auto"/>
        <w:jc w:val="both"/>
        <w:rPr>
          <w:rFonts w:ascii="Arial" w:eastAsia="Times New Roman" w:hAnsi="Arial" w:cs="Arial"/>
          <w:bCs/>
          <w:sz w:val="20"/>
          <w:szCs w:val="20"/>
          <w:lang w:eastAsia="fr-FR"/>
        </w:rPr>
      </w:pPr>
      <w:r w:rsidRPr="008B438A">
        <w:rPr>
          <w:rFonts w:ascii="Arial" w:eastAsia="Times New Roman" w:hAnsi="Arial" w:cs="Arial"/>
          <w:sz w:val="20"/>
          <w:szCs w:val="20"/>
          <w:lang w:eastAsia="fr-FR"/>
        </w:rPr>
        <w:t xml:space="preserve">Le présent marché a pour objet la mise en place d’une prestation d’assistance utilisateur, support technique et accompagnement opérationnel à l'utilisation du logiciel </w:t>
      </w:r>
      <w:proofErr w:type="spellStart"/>
      <w:r w:rsidRPr="008B438A">
        <w:rPr>
          <w:rFonts w:ascii="Arial" w:eastAsia="Times New Roman" w:hAnsi="Arial" w:cs="Arial"/>
          <w:sz w:val="20"/>
          <w:szCs w:val="20"/>
          <w:lang w:eastAsia="fr-FR"/>
        </w:rPr>
        <w:t>RenoiRH</w:t>
      </w:r>
      <w:proofErr w:type="spellEnd"/>
      <w:r w:rsidRPr="008B438A">
        <w:rPr>
          <w:rFonts w:ascii="Arial" w:eastAsia="Times New Roman" w:hAnsi="Arial" w:cs="Arial"/>
          <w:sz w:val="20"/>
          <w:szCs w:val="20"/>
          <w:lang w:eastAsia="fr-FR"/>
        </w:rPr>
        <w:t xml:space="preserve">, dont doivent bénéficier les 26 Crous et le </w:t>
      </w:r>
      <w:proofErr w:type="spellStart"/>
      <w:r w:rsidRPr="008B438A">
        <w:rPr>
          <w:rFonts w:ascii="Arial" w:eastAsia="Times New Roman" w:hAnsi="Arial" w:cs="Arial"/>
          <w:sz w:val="20"/>
          <w:szCs w:val="20"/>
          <w:lang w:eastAsia="fr-FR"/>
        </w:rPr>
        <w:t>Cnous</w:t>
      </w:r>
      <w:proofErr w:type="spellEnd"/>
      <w:r w:rsidRPr="008B438A">
        <w:rPr>
          <w:rFonts w:ascii="Arial" w:eastAsia="Times New Roman" w:hAnsi="Arial" w:cs="Arial"/>
          <w:sz w:val="20"/>
          <w:szCs w:val="20"/>
          <w:lang w:eastAsia="fr-FR"/>
        </w:rPr>
        <w:t xml:space="preserve"> dans le cadre du changement de Système d’Informations des Ressources Humaines (passage du progiciel Pléiades de SOPRA HR Software à </w:t>
      </w:r>
      <w:proofErr w:type="spellStart"/>
      <w:r w:rsidRPr="008B438A">
        <w:rPr>
          <w:rFonts w:ascii="Arial" w:eastAsia="Times New Roman" w:hAnsi="Arial" w:cs="Arial"/>
          <w:sz w:val="20"/>
          <w:szCs w:val="20"/>
          <w:lang w:eastAsia="fr-FR"/>
        </w:rPr>
        <w:t>RenoiRH</w:t>
      </w:r>
      <w:proofErr w:type="spellEnd"/>
      <w:r w:rsidRPr="008B438A">
        <w:rPr>
          <w:rFonts w:ascii="Arial" w:eastAsia="Times New Roman" w:hAnsi="Arial" w:cs="Arial"/>
          <w:sz w:val="20"/>
          <w:szCs w:val="20"/>
          <w:lang w:eastAsia="fr-FR"/>
        </w:rPr>
        <w:t xml:space="preserve"> à compter du 1</w:t>
      </w:r>
      <w:r w:rsidRPr="008B438A">
        <w:rPr>
          <w:rFonts w:ascii="Arial" w:eastAsia="Times New Roman" w:hAnsi="Arial" w:cs="Arial"/>
          <w:sz w:val="20"/>
          <w:szCs w:val="20"/>
          <w:vertAlign w:val="superscript"/>
          <w:lang w:eastAsia="fr-FR"/>
        </w:rPr>
        <w:t>er</w:t>
      </w:r>
      <w:r w:rsidRPr="008B438A">
        <w:rPr>
          <w:rFonts w:ascii="Arial" w:eastAsia="Times New Roman" w:hAnsi="Arial" w:cs="Arial"/>
          <w:sz w:val="20"/>
          <w:szCs w:val="20"/>
          <w:lang w:eastAsia="fr-FR"/>
        </w:rPr>
        <w:t xml:space="preserve"> janvier 2026). </w:t>
      </w:r>
    </w:p>
    <w:p w14:paraId="46A81849" w14:textId="77777777" w:rsidR="00FD7FF3" w:rsidRPr="008B438A" w:rsidRDefault="00FD7FF3" w:rsidP="00FD7FF3">
      <w:pPr>
        <w:rPr>
          <w:rFonts w:ascii="Arial" w:hAnsi="Arial" w:cs="Arial"/>
          <w:color w:val="000000" w:themeColor="text1"/>
          <w:sz w:val="20"/>
        </w:rPr>
      </w:pPr>
      <w:r w:rsidRPr="008B438A">
        <w:rPr>
          <w:rFonts w:ascii="Arial" w:hAnsi="Arial" w:cs="Arial"/>
          <w:color w:val="000000" w:themeColor="text1"/>
          <w:sz w:val="20"/>
        </w:rPr>
        <w:t xml:space="preserve">Le marché doit permettre notamment : </w:t>
      </w:r>
    </w:p>
    <w:p w14:paraId="39B87F66" w14:textId="77777777" w:rsidR="00FD7FF3" w:rsidRPr="008B438A" w:rsidRDefault="00FD7FF3" w:rsidP="00FD7FF3">
      <w:pPr>
        <w:ind w:left="708"/>
        <w:rPr>
          <w:rFonts w:ascii="Arial" w:hAnsi="Arial" w:cs="Arial"/>
          <w:color w:val="000000" w:themeColor="text1"/>
          <w:sz w:val="20"/>
        </w:rPr>
      </w:pPr>
      <w:r w:rsidRPr="008B438A">
        <w:rPr>
          <w:rFonts w:ascii="Arial" w:hAnsi="Arial" w:cs="Arial"/>
          <w:color w:val="000000" w:themeColor="text1"/>
          <w:sz w:val="20"/>
        </w:rPr>
        <w:t>1.</w:t>
      </w:r>
      <w:r w:rsidRPr="008B438A">
        <w:rPr>
          <w:rFonts w:ascii="Arial" w:hAnsi="Arial" w:cs="Arial"/>
          <w:color w:val="000000" w:themeColor="text1"/>
          <w:sz w:val="20"/>
        </w:rPr>
        <w:tab/>
        <w:t xml:space="preserve">d’accompagner le </w:t>
      </w:r>
      <w:proofErr w:type="spellStart"/>
      <w:r w:rsidRPr="008B438A">
        <w:rPr>
          <w:rFonts w:ascii="Arial" w:hAnsi="Arial" w:cs="Arial"/>
          <w:color w:val="000000" w:themeColor="text1"/>
          <w:sz w:val="20"/>
        </w:rPr>
        <w:t>Cnous</w:t>
      </w:r>
      <w:proofErr w:type="spellEnd"/>
      <w:r w:rsidRPr="008B438A">
        <w:rPr>
          <w:rFonts w:ascii="Arial" w:hAnsi="Arial" w:cs="Arial"/>
          <w:color w:val="000000" w:themeColor="text1"/>
          <w:sz w:val="20"/>
        </w:rPr>
        <w:t xml:space="preserve"> à la direction du projet</w:t>
      </w:r>
    </w:p>
    <w:p w14:paraId="75FC4A29" w14:textId="77777777" w:rsidR="00FD7FF3" w:rsidRPr="008B438A" w:rsidRDefault="00FD7FF3" w:rsidP="00FD7FF3">
      <w:pPr>
        <w:ind w:left="708"/>
        <w:rPr>
          <w:rFonts w:ascii="Arial" w:hAnsi="Arial" w:cs="Arial"/>
          <w:color w:val="000000" w:themeColor="text1"/>
          <w:sz w:val="20"/>
        </w:rPr>
      </w:pPr>
      <w:r w:rsidRPr="008B438A">
        <w:rPr>
          <w:rFonts w:ascii="Arial" w:hAnsi="Arial" w:cs="Arial"/>
          <w:color w:val="000000" w:themeColor="text1"/>
          <w:sz w:val="20"/>
        </w:rPr>
        <w:t>2.</w:t>
      </w:r>
      <w:r w:rsidRPr="008B438A">
        <w:rPr>
          <w:rFonts w:ascii="Arial" w:hAnsi="Arial" w:cs="Arial"/>
          <w:color w:val="000000" w:themeColor="text1"/>
          <w:sz w:val="20"/>
        </w:rPr>
        <w:tab/>
        <w:t xml:space="preserve">d’assurer une assistance auprès des utilisateurs : </w:t>
      </w:r>
    </w:p>
    <w:p w14:paraId="6AB60C7D" w14:textId="77777777" w:rsidR="00FD7FF3" w:rsidRPr="008B438A" w:rsidRDefault="00FD7FF3" w:rsidP="00FD7FF3">
      <w:pPr>
        <w:numPr>
          <w:ilvl w:val="1"/>
          <w:numId w:val="48"/>
        </w:numPr>
        <w:spacing w:after="0" w:line="240" w:lineRule="auto"/>
        <w:jc w:val="both"/>
        <w:rPr>
          <w:rFonts w:ascii="Arial" w:hAnsi="Arial" w:cs="Arial"/>
          <w:color w:val="000000" w:themeColor="text1"/>
          <w:sz w:val="20"/>
        </w:rPr>
      </w:pPr>
      <w:proofErr w:type="gramStart"/>
      <w:r w:rsidRPr="008B438A">
        <w:rPr>
          <w:rFonts w:ascii="Arial" w:hAnsi="Arial" w:cs="Arial"/>
          <w:color w:val="000000" w:themeColor="text1"/>
          <w:sz w:val="20"/>
        </w:rPr>
        <w:lastRenderedPageBreak/>
        <w:t>avec</w:t>
      </w:r>
      <w:proofErr w:type="gramEnd"/>
      <w:r w:rsidRPr="008B438A">
        <w:rPr>
          <w:rFonts w:ascii="Arial" w:hAnsi="Arial" w:cs="Arial"/>
          <w:color w:val="000000" w:themeColor="text1"/>
          <w:sz w:val="20"/>
        </w:rPr>
        <w:t xml:space="preserve"> une assistance renforcée de la notification du marché à janvier 2026 dans le cadre du </w:t>
      </w:r>
      <w:proofErr w:type="spellStart"/>
      <w:r w:rsidRPr="008B438A">
        <w:rPr>
          <w:rFonts w:ascii="Arial" w:hAnsi="Arial" w:cs="Arial"/>
          <w:color w:val="000000" w:themeColor="text1"/>
          <w:sz w:val="20"/>
        </w:rPr>
        <w:t>pré-démarrage</w:t>
      </w:r>
      <w:proofErr w:type="spellEnd"/>
      <w:r w:rsidRPr="008B438A">
        <w:rPr>
          <w:rFonts w:ascii="Arial" w:hAnsi="Arial" w:cs="Arial"/>
          <w:color w:val="000000" w:themeColor="text1"/>
          <w:sz w:val="20"/>
        </w:rPr>
        <w:t xml:space="preserve"> à l’utilisation de </w:t>
      </w:r>
      <w:proofErr w:type="spellStart"/>
      <w:r w:rsidRPr="008B438A">
        <w:rPr>
          <w:rFonts w:ascii="Arial" w:hAnsi="Arial" w:cs="Arial"/>
          <w:color w:val="000000" w:themeColor="text1"/>
          <w:sz w:val="20"/>
        </w:rPr>
        <w:t>RenoiRH</w:t>
      </w:r>
      <w:proofErr w:type="spellEnd"/>
    </w:p>
    <w:p w14:paraId="650A1284" w14:textId="77777777" w:rsidR="00FD7FF3" w:rsidRPr="008B438A" w:rsidRDefault="00FD7FF3" w:rsidP="00FD7FF3">
      <w:pPr>
        <w:numPr>
          <w:ilvl w:val="1"/>
          <w:numId w:val="48"/>
        </w:numPr>
        <w:spacing w:after="0" w:line="240" w:lineRule="auto"/>
        <w:jc w:val="both"/>
        <w:rPr>
          <w:rFonts w:ascii="Arial" w:hAnsi="Arial" w:cs="Arial"/>
          <w:color w:val="000000" w:themeColor="text1"/>
          <w:sz w:val="20"/>
        </w:rPr>
      </w:pPr>
      <w:proofErr w:type="gramStart"/>
      <w:r w:rsidRPr="008B438A">
        <w:rPr>
          <w:rFonts w:ascii="Arial" w:hAnsi="Arial" w:cs="Arial"/>
          <w:color w:val="000000" w:themeColor="text1"/>
          <w:sz w:val="20"/>
        </w:rPr>
        <w:t>une</w:t>
      </w:r>
      <w:proofErr w:type="gramEnd"/>
      <w:r w:rsidRPr="008B438A">
        <w:rPr>
          <w:rFonts w:ascii="Arial" w:hAnsi="Arial" w:cs="Arial"/>
          <w:color w:val="000000" w:themeColor="text1"/>
          <w:sz w:val="20"/>
        </w:rPr>
        <w:t xml:space="preserve"> assistance post démarrage à partir de février 2026 jusqu’en septembre 2026 inclus</w:t>
      </w:r>
    </w:p>
    <w:p w14:paraId="4E753C80" w14:textId="77777777" w:rsidR="00FD7FF3" w:rsidRPr="008B438A" w:rsidRDefault="00FD7FF3" w:rsidP="008B438A">
      <w:pPr>
        <w:ind w:left="1701"/>
        <w:rPr>
          <w:rFonts w:ascii="Arial" w:hAnsi="Arial" w:cs="Arial"/>
          <w:color w:val="000000" w:themeColor="text1"/>
          <w:sz w:val="20"/>
        </w:rPr>
      </w:pPr>
      <w:r w:rsidRPr="008B438A">
        <w:rPr>
          <w:rFonts w:ascii="Arial" w:hAnsi="Arial" w:cs="Arial"/>
          <w:color w:val="000000" w:themeColor="text1"/>
          <w:sz w:val="20"/>
        </w:rPr>
        <w:t>2.3</w:t>
      </w:r>
      <w:r w:rsidRPr="008B438A">
        <w:rPr>
          <w:rFonts w:ascii="Arial" w:hAnsi="Arial" w:cs="Arial"/>
          <w:color w:val="000000" w:themeColor="text1"/>
          <w:sz w:val="20"/>
        </w:rPr>
        <w:tab/>
        <w:t>une assistance courante à partir d’octobre 2026 jusqu’à la fin du marché</w:t>
      </w:r>
    </w:p>
    <w:p w14:paraId="2DF270A5" w14:textId="55369CFF" w:rsidR="007B435C" w:rsidRDefault="00FD7FF3" w:rsidP="008B438A">
      <w:pPr>
        <w:spacing w:after="200" w:line="276" w:lineRule="auto"/>
        <w:ind w:left="709"/>
        <w:jc w:val="both"/>
        <w:rPr>
          <w:rFonts w:ascii="Arial" w:hAnsi="Arial" w:cs="Arial"/>
          <w:color w:val="000000" w:themeColor="text1"/>
          <w:sz w:val="20"/>
        </w:rPr>
      </w:pPr>
      <w:r w:rsidRPr="008B438A">
        <w:rPr>
          <w:rFonts w:ascii="Arial" w:hAnsi="Arial" w:cs="Arial"/>
          <w:color w:val="000000" w:themeColor="text1"/>
          <w:sz w:val="20"/>
        </w:rPr>
        <w:t>3</w:t>
      </w:r>
      <w:r w:rsidR="008B438A">
        <w:rPr>
          <w:rFonts w:ascii="Arial" w:hAnsi="Arial" w:cs="Arial"/>
          <w:color w:val="000000" w:themeColor="text1"/>
          <w:sz w:val="20"/>
        </w:rPr>
        <w:t>.</w:t>
      </w:r>
      <w:r w:rsidRPr="008B438A">
        <w:rPr>
          <w:rFonts w:ascii="Arial" w:hAnsi="Arial" w:cs="Arial"/>
          <w:color w:val="000000" w:themeColor="text1"/>
          <w:sz w:val="20"/>
        </w:rPr>
        <w:tab/>
        <w:t>de proposer aux établissements concernés (Crous/</w:t>
      </w:r>
      <w:proofErr w:type="spellStart"/>
      <w:r w:rsidRPr="008B438A">
        <w:rPr>
          <w:rFonts w:ascii="Arial" w:hAnsi="Arial" w:cs="Arial"/>
          <w:color w:val="000000" w:themeColor="text1"/>
          <w:sz w:val="20"/>
        </w:rPr>
        <w:t>Cnous</w:t>
      </w:r>
      <w:proofErr w:type="spellEnd"/>
      <w:r w:rsidRPr="008B438A">
        <w:rPr>
          <w:rFonts w:ascii="Arial" w:hAnsi="Arial" w:cs="Arial"/>
          <w:color w:val="000000" w:themeColor="text1"/>
          <w:sz w:val="20"/>
        </w:rPr>
        <w:t>) des formations ponctuelles</w:t>
      </w:r>
    </w:p>
    <w:p w14:paraId="2B31C611" w14:textId="77777777" w:rsidR="008B438A" w:rsidRPr="007B435C" w:rsidRDefault="008B438A" w:rsidP="007B435C">
      <w:pPr>
        <w:spacing w:after="200" w:line="276" w:lineRule="auto"/>
        <w:jc w:val="both"/>
        <w:rPr>
          <w:rFonts w:ascii="Arial" w:eastAsia="Calibri" w:hAnsi="Arial" w:cs="Arial"/>
          <w:sz w:val="20"/>
          <w:szCs w:val="20"/>
        </w:rPr>
      </w:pPr>
    </w:p>
    <w:p w14:paraId="7F114AF7" w14:textId="363602D1" w:rsidR="005B56BB" w:rsidRDefault="007B435C" w:rsidP="009955C9">
      <w:pPr>
        <w:jc w:val="both"/>
        <w:rPr>
          <w:rFonts w:ascii="Arial" w:hAnsi="Arial" w:cs="Arial"/>
          <w:sz w:val="20"/>
          <w:szCs w:val="20"/>
        </w:rPr>
      </w:pPr>
      <w:r w:rsidRPr="007B435C">
        <w:rPr>
          <w:rFonts w:ascii="Arial" w:eastAsia="Calibri" w:hAnsi="Arial" w:cs="Arial"/>
          <w:sz w:val="20"/>
          <w:szCs w:val="20"/>
        </w:rPr>
        <w:t>Les prestations sont décrites et définies dans le cahier des clauses techniques particulières (CCTP).</w:t>
      </w:r>
    </w:p>
    <w:p w14:paraId="57FAA084" w14:textId="77777777" w:rsidR="005B56BB" w:rsidRDefault="005B56BB" w:rsidP="009955C9">
      <w:pPr>
        <w:jc w:val="both"/>
        <w:rPr>
          <w:rFonts w:ascii="Arial" w:hAnsi="Arial" w:cs="Arial"/>
          <w:sz w:val="20"/>
          <w:szCs w:val="20"/>
        </w:rPr>
      </w:pPr>
    </w:p>
    <w:p w14:paraId="7ADB50EB" w14:textId="378347BD" w:rsidR="00F85D0E" w:rsidRPr="00F85D0E" w:rsidRDefault="00F85D0E" w:rsidP="00535202">
      <w:pPr>
        <w:pStyle w:val="Titre1"/>
      </w:pPr>
      <w:bookmarkStart w:id="5" w:name="_Toc189816671"/>
      <w:r>
        <w:t>PRIX</w:t>
      </w:r>
      <w:bookmarkEnd w:id="5"/>
    </w:p>
    <w:p w14:paraId="4C6DAC7E" w14:textId="77777777" w:rsidR="008B438A" w:rsidRPr="008B438A" w:rsidRDefault="008B438A" w:rsidP="008B438A">
      <w:pPr>
        <w:spacing w:after="0"/>
        <w:rPr>
          <w:rFonts w:ascii="Arial" w:hAnsi="Arial" w:cs="Arial"/>
          <w:sz w:val="20"/>
          <w:szCs w:val="20"/>
        </w:rPr>
      </w:pPr>
      <w:r w:rsidRPr="008B438A">
        <w:rPr>
          <w:rFonts w:ascii="Arial" w:hAnsi="Arial" w:cs="Arial"/>
          <w:sz w:val="20"/>
          <w:szCs w:val="20"/>
        </w:rPr>
        <w:t>Le présent accord-cadre est mono attributaire.</w:t>
      </w:r>
    </w:p>
    <w:p w14:paraId="267F3F8F" w14:textId="77777777" w:rsidR="008B438A" w:rsidRPr="008B438A" w:rsidRDefault="008B438A" w:rsidP="008B438A">
      <w:pPr>
        <w:spacing w:after="0"/>
        <w:rPr>
          <w:rFonts w:ascii="Arial" w:hAnsi="Arial" w:cs="Arial"/>
          <w:sz w:val="20"/>
          <w:szCs w:val="20"/>
        </w:rPr>
      </w:pPr>
    </w:p>
    <w:p w14:paraId="7AB605FF" w14:textId="77777777" w:rsidR="008B438A" w:rsidRPr="008B438A" w:rsidRDefault="008B438A" w:rsidP="00B30320">
      <w:pPr>
        <w:jc w:val="both"/>
        <w:rPr>
          <w:rFonts w:ascii="Arial" w:hAnsi="Arial" w:cs="Arial"/>
          <w:bCs/>
          <w:color w:val="000000"/>
          <w:sz w:val="20"/>
          <w:szCs w:val="20"/>
        </w:rPr>
      </w:pPr>
      <w:r w:rsidRPr="008B438A">
        <w:rPr>
          <w:rFonts w:ascii="Arial" w:hAnsi="Arial" w:cs="Arial"/>
          <w:bCs/>
          <w:color w:val="000000"/>
          <w:sz w:val="20"/>
          <w:szCs w:val="20"/>
        </w:rPr>
        <w:t>Le présent marché est traité à prix mixtes, au regard du cadre financier (annexe n°1 de l’acte d’engagement) complété par le Titulaire :</w:t>
      </w:r>
    </w:p>
    <w:p w14:paraId="3410F88E" w14:textId="77777777" w:rsidR="008B438A" w:rsidRPr="008B438A" w:rsidRDefault="008B438A" w:rsidP="008B438A">
      <w:pPr>
        <w:numPr>
          <w:ilvl w:val="0"/>
          <w:numId w:val="46"/>
        </w:numPr>
        <w:spacing w:after="0" w:line="276" w:lineRule="auto"/>
        <w:jc w:val="both"/>
        <w:rPr>
          <w:rFonts w:ascii="Arial" w:hAnsi="Arial" w:cs="Arial"/>
          <w:bCs/>
          <w:color w:val="000000"/>
          <w:sz w:val="20"/>
          <w:szCs w:val="20"/>
        </w:rPr>
      </w:pPr>
      <w:r w:rsidRPr="008B438A">
        <w:rPr>
          <w:rFonts w:ascii="Arial" w:hAnsi="Arial" w:cs="Arial"/>
          <w:bCs/>
          <w:color w:val="000000"/>
          <w:sz w:val="20"/>
          <w:szCs w:val="20"/>
        </w:rPr>
        <w:t>Un prix forfaitaire tel qu’indiqué dans la décomposition du prix global forfaitaire (DPGF) pour les missions 1 et 2;</w:t>
      </w:r>
    </w:p>
    <w:p w14:paraId="0A1C2F3D" w14:textId="77777777" w:rsidR="008B438A" w:rsidRPr="008B438A" w:rsidRDefault="008B438A" w:rsidP="008B438A">
      <w:pPr>
        <w:rPr>
          <w:rFonts w:ascii="Arial" w:hAnsi="Arial" w:cs="Arial"/>
          <w:bCs/>
          <w:color w:val="000000"/>
          <w:sz w:val="20"/>
          <w:szCs w:val="20"/>
        </w:rPr>
      </w:pPr>
    </w:p>
    <w:p w14:paraId="764CEDDB" w14:textId="77777777" w:rsidR="008B438A" w:rsidRPr="008B438A" w:rsidRDefault="008B438A" w:rsidP="008B438A">
      <w:pPr>
        <w:numPr>
          <w:ilvl w:val="0"/>
          <w:numId w:val="46"/>
        </w:numPr>
        <w:spacing w:after="0" w:line="276" w:lineRule="auto"/>
        <w:jc w:val="both"/>
        <w:rPr>
          <w:rFonts w:ascii="Arial" w:hAnsi="Arial" w:cs="Arial"/>
          <w:bCs/>
          <w:color w:val="000000"/>
          <w:sz w:val="20"/>
          <w:szCs w:val="20"/>
        </w:rPr>
      </w:pPr>
      <w:r w:rsidRPr="008B438A">
        <w:rPr>
          <w:rFonts w:ascii="Arial" w:hAnsi="Arial" w:cs="Arial"/>
          <w:bCs/>
          <w:color w:val="000000"/>
          <w:sz w:val="20"/>
          <w:szCs w:val="20"/>
        </w:rPr>
        <w:t xml:space="preserve">Un prix unitaire pour la mission 3 tel que précisé dans le bordereau des prix unitaire (BPU). Les prestations donneront lieu à l’émission de bons de commande, conformément aux articles R 2162-2 alinéa 2 et 2162-4 1° du Code de la commande publique avec les montants minimum et maximum suivants : </w:t>
      </w:r>
    </w:p>
    <w:p w14:paraId="004DDB54" w14:textId="77777777" w:rsidR="008B438A" w:rsidRPr="008B438A" w:rsidRDefault="008B438A" w:rsidP="008B438A">
      <w:pPr>
        <w:rPr>
          <w:rFonts w:ascii="Arial" w:hAnsi="Arial" w:cs="Arial"/>
          <w:bCs/>
          <w:color w:val="000000"/>
          <w:sz w:val="20"/>
          <w:szCs w:val="20"/>
        </w:rPr>
      </w:pPr>
    </w:p>
    <w:tbl>
      <w:tblPr>
        <w:tblStyle w:val="Grilledutableau"/>
        <w:tblW w:w="0" w:type="auto"/>
        <w:tblInd w:w="360" w:type="dxa"/>
        <w:tblLook w:val="04A0" w:firstRow="1" w:lastRow="0" w:firstColumn="1" w:lastColumn="0" w:noHBand="0" w:noVBand="1"/>
      </w:tblPr>
      <w:tblGrid>
        <w:gridCol w:w="2898"/>
        <w:gridCol w:w="2899"/>
        <w:gridCol w:w="2899"/>
      </w:tblGrid>
      <w:tr w:rsidR="008B438A" w:rsidRPr="008B438A" w14:paraId="6B4C5641" w14:textId="77777777" w:rsidTr="00592EC1">
        <w:trPr>
          <w:trHeight w:val="222"/>
        </w:trPr>
        <w:tc>
          <w:tcPr>
            <w:tcW w:w="2898" w:type="dxa"/>
            <w:tcBorders>
              <w:top w:val="single" w:sz="4" w:space="0" w:color="auto"/>
              <w:left w:val="single" w:sz="4" w:space="0" w:color="auto"/>
              <w:bottom w:val="single" w:sz="4" w:space="0" w:color="auto"/>
              <w:right w:val="single" w:sz="4" w:space="0" w:color="auto"/>
            </w:tcBorders>
            <w:hideMark/>
          </w:tcPr>
          <w:p w14:paraId="45E3E73A"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Prestations unitaires</w:t>
            </w:r>
          </w:p>
        </w:tc>
        <w:tc>
          <w:tcPr>
            <w:tcW w:w="2899" w:type="dxa"/>
            <w:tcBorders>
              <w:top w:val="single" w:sz="4" w:space="0" w:color="auto"/>
              <w:left w:val="single" w:sz="4" w:space="0" w:color="auto"/>
              <w:bottom w:val="single" w:sz="4" w:space="0" w:color="auto"/>
              <w:right w:val="single" w:sz="4" w:space="0" w:color="auto"/>
            </w:tcBorders>
            <w:hideMark/>
          </w:tcPr>
          <w:p w14:paraId="532A8160"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 xml:space="preserve">Montant minimum </w:t>
            </w:r>
          </w:p>
        </w:tc>
        <w:tc>
          <w:tcPr>
            <w:tcW w:w="2899" w:type="dxa"/>
            <w:tcBorders>
              <w:top w:val="single" w:sz="4" w:space="0" w:color="auto"/>
              <w:left w:val="single" w:sz="4" w:space="0" w:color="auto"/>
              <w:bottom w:val="single" w:sz="4" w:space="0" w:color="auto"/>
              <w:right w:val="single" w:sz="4" w:space="0" w:color="auto"/>
            </w:tcBorders>
            <w:hideMark/>
          </w:tcPr>
          <w:p w14:paraId="20B217EB"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 xml:space="preserve">Montant maximum </w:t>
            </w:r>
            <w:r w:rsidRPr="008B438A">
              <w:rPr>
                <w:rFonts w:ascii="Arial" w:hAnsi="Arial" w:cs="Arial"/>
                <w:b/>
                <w:i/>
                <w:iCs/>
                <w:color w:val="000000"/>
                <w:sz w:val="20"/>
                <w:szCs w:val="20"/>
              </w:rPr>
              <w:t>sur toute la durée du marché</w:t>
            </w:r>
          </w:p>
        </w:tc>
      </w:tr>
      <w:tr w:rsidR="008B438A" w:rsidRPr="008B438A" w14:paraId="03324B90" w14:textId="77777777" w:rsidTr="00592EC1">
        <w:tc>
          <w:tcPr>
            <w:tcW w:w="2898" w:type="dxa"/>
            <w:tcBorders>
              <w:top w:val="single" w:sz="4" w:space="0" w:color="auto"/>
              <w:left w:val="single" w:sz="4" w:space="0" w:color="auto"/>
              <w:bottom w:val="single" w:sz="4" w:space="0" w:color="auto"/>
              <w:right w:val="single" w:sz="4" w:space="0" w:color="auto"/>
            </w:tcBorders>
            <w:vAlign w:val="center"/>
            <w:hideMark/>
          </w:tcPr>
          <w:p w14:paraId="6A95EB2E"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U.O 3.1  Prestations de formations</w:t>
            </w:r>
          </w:p>
        </w:tc>
        <w:tc>
          <w:tcPr>
            <w:tcW w:w="2899" w:type="dxa"/>
            <w:tcBorders>
              <w:top w:val="single" w:sz="4" w:space="0" w:color="auto"/>
              <w:left w:val="single" w:sz="4" w:space="0" w:color="auto"/>
              <w:bottom w:val="single" w:sz="4" w:space="0" w:color="auto"/>
              <w:right w:val="single" w:sz="4" w:space="0" w:color="auto"/>
            </w:tcBorders>
            <w:vAlign w:val="center"/>
            <w:hideMark/>
          </w:tcPr>
          <w:p w14:paraId="146C2F63"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0 € HT</w:t>
            </w:r>
          </w:p>
        </w:tc>
        <w:tc>
          <w:tcPr>
            <w:tcW w:w="2899" w:type="dxa"/>
            <w:tcBorders>
              <w:top w:val="single" w:sz="4" w:space="0" w:color="auto"/>
              <w:left w:val="single" w:sz="4" w:space="0" w:color="auto"/>
              <w:bottom w:val="single" w:sz="4" w:space="0" w:color="auto"/>
              <w:right w:val="single" w:sz="4" w:space="0" w:color="auto"/>
            </w:tcBorders>
            <w:vAlign w:val="center"/>
            <w:hideMark/>
          </w:tcPr>
          <w:p w14:paraId="15629D1E" w14:textId="77777777" w:rsidR="008B438A" w:rsidRPr="0042387A" w:rsidRDefault="008B438A" w:rsidP="00592EC1">
            <w:pPr>
              <w:rPr>
                <w:rFonts w:ascii="Arial" w:hAnsi="Arial" w:cs="Arial"/>
                <w:bCs/>
                <w:color w:val="000000"/>
                <w:sz w:val="20"/>
                <w:szCs w:val="20"/>
              </w:rPr>
            </w:pPr>
            <w:r w:rsidRPr="0042387A">
              <w:rPr>
                <w:rFonts w:ascii="Arial" w:hAnsi="Arial" w:cs="Arial"/>
                <w:bCs/>
                <w:color w:val="000000"/>
                <w:sz w:val="20"/>
                <w:szCs w:val="20"/>
              </w:rPr>
              <w:t>120 000 € HT</w:t>
            </w:r>
          </w:p>
        </w:tc>
      </w:tr>
      <w:tr w:rsidR="008B438A" w:rsidRPr="008B438A" w14:paraId="29629813" w14:textId="77777777" w:rsidTr="00592EC1">
        <w:tc>
          <w:tcPr>
            <w:tcW w:w="2898" w:type="dxa"/>
            <w:tcBorders>
              <w:top w:val="single" w:sz="4" w:space="0" w:color="auto"/>
              <w:left w:val="single" w:sz="4" w:space="0" w:color="auto"/>
              <w:bottom w:val="single" w:sz="4" w:space="0" w:color="auto"/>
              <w:right w:val="single" w:sz="4" w:space="0" w:color="auto"/>
            </w:tcBorders>
            <w:vAlign w:val="center"/>
          </w:tcPr>
          <w:p w14:paraId="3B89879D"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 xml:space="preserve">U.O 3.2  Prestations complémentaire </w:t>
            </w:r>
          </w:p>
        </w:tc>
        <w:tc>
          <w:tcPr>
            <w:tcW w:w="2899" w:type="dxa"/>
            <w:tcBorders>
              <w:top w:val="single" w:sz="4" w:space="0" w:color="auto"/>
              <w:left w:val="single" w:sz="4" w:space="0" w:color="auto"/>
              <w:bottom w:val="single" w:sz="4" w:space="0" w:color="auto"/>
              <w:right w:val="single" w:sz="4" w:space="0" w:color="auto"/>
            </w:tcBorders>
            <w:vAlign w:val="center"/>
          </w:tcPr>
          <w:p w14:paraId="262463A3" w14:textId="77777777" w:rsidR="008B438A" w:rsidRPr="008B438A" w:rsidRDefault="008B438A" w:rsidP="00592EC1">
            <w:pPr>
              <w:rPr>
                <w:rFonts w:ascii="Arial" w:hAnsi="Arial" w:cs="Arial"/>
                <w:bCs/>
                <w:color w:val="000000"/>
                <w:sz w:val="20"/>
                <w:szCs w:val="20"/>
              </w:rPr>
            </w:pPr>
            <w:r w:rsidRPr="008B438A">
              <w:rPr>
                <w:rFonts w:ascii="Arial" w:hAnsi="Arial" w:cs="Arial"/>
                <w:bCs/>
                <w:color w:val="000000"/>
                <w:sz w:val="20"/>
                <w:szCs w:val="20"/>
              </w:rPr>
              <w:t xml:space="preserve">0 € HT </w:t>
            </w:r>
          </w:p>
        </w:tc>
        <w:tc>
          <w:tcPr>
            <w:tcW w:w="2899" w:type="dxa"/>
            <w:tcBorders>
              <w:top w:val="single" w:sz="4" w:space="0" w:color="auto"/>
              <w:left w:val="single" w:sz="4" w:space="0" w:color="auto"/>
              <w:bottom w:val="single" w:sz="4" w:space="0" w:color="auto"/>
              <w:right w:val="single" w:sz="4" w:space="0" w:color="auto"/>
            </w:tcBorders>
            <w:vAlign w:val="center"/>
          </w:tcPr>
          <w:p w14:paraId="5D0F2746" w14:textId="6F28DDC4" w:rsidR="008B438A" w:rsidRPr="0042387A" w:rsidRDefault="00E556E6" w:rsidP="00592EC1">
            <w:pPr>
              <w:rPr>
                <w:rFonts w:ascii="Arial" w:hAnsi="Arial" w:cs="Arial"/>
                <w:bCs/>
                <w:color w:val="000000"/>
                <w:sz w:val="20"/>
                <w:szCs w:val="20"/>
              </w:rPr>
            </w:pPr>
            <w:r>
              <w:rPr>
                <w:rFonts w:ascii="Arial" w:hAnsi="Arial" w:cs="Arial"/>
                <w:bCs/>
                <w:color w:val="000000"/>
                <w:sz w:val="20"/>
                <w:szCs w:val="20"/>
              </w:rPr>
              <w:t>2</w:t>
            </w:r>
            <w:r w:rsidR="0042387A" w:rsidRPr="0042387A">
              <w:rPr>
                <w:rFonts w:ascii="Arial" w:hAnsi="Arial" w:cs="Arial"/>
                <w:bCs/>
                <w:color w:val="000000"/>
                <w:sz w:val="20"/>
                <w:szCs w:val="20"/>
              </w:rPr>
              <w:t>8</w:t>
            </w:r>
            <w:r w:rsidR="008B438A" w:rsidRPr="0042387A">
              <w:rPr>
                <w:rFonts w:ascii="Arial" w:hAnsi="Arial" w:cs="Arial"/>
                <w:bCs/>
                <w:color w:val="000000"/>
                <w:sz w:val="20"/>
                <w:szCs w:val="20"/>
              </w:rPr>
              <w:t>4 000 € HT</w:t>
            </w:r>
          </w:p>
        </w:tc>
      </w:tr>
    </w:tbl>
    <w:p w14:paraId="4670DD1B" w14:textId="77777777" w:rsidR="008B438A" w:rsidRPr="008B438A" w:rsidRDefault="008B438A" w:rsidP="008B438A">
      <w:pPr>
        <w:rPr>
          <w:rFonts w:ascii="Arial" w:hAnsi="Arial" w:cs="Arial"/>
          <w:bCs/>
          <w:color w:val="000000"/>
          <w:sz w:val="20"/>
          <w:szCs w:val="20"/>
        </w:rPr>
      </w:pPr>
    </w:p>
    <w:p w14:paraId="72DF243B" w14:textId="77777777" w:rsidR="008B438A" w:rsidRPr="008B438A" w:rsidRDefault="008B438A" w:rsidP="008B438A">
      <w:pPr>
        <w:rPr>
          <w:rFonts w:ascii="Arial" w:hAnsi="Arial" w:cs="Arial"/>
          <w:bCs/>
          <w:color w:val="000000"/>
          <w:sz w:val="20"/>
          <w:szCs w:val="20"/>
        </w:rPr>
      </w:pPr>
    </w:p>
    <w:p w14:paraId="757DD9F3" w14:textId="77777777" w:rsidR="008B438A" w:rsidRPr="008B438A" w:rsidRDefault="008B438A" w:rsidP="008B438A">
      <w:pPr>
        <w:rPr>
          <w:rFonts w:ascii="Arial" w:hAnsi="Arial" w:cs="Arial"/>
          <w:bCs/>
          <w:color w:val="000000"/>
          <w:sz w:val="20"/>
          <w:szCs w:val="20"/>
        </w:rPr>
      </w:pPr>
      <w:r w:rsidRPr="008B438A">
        <w:rPr>
          <w:rFonts w:ascii="Arial" w:hAnsi="Arial" w:cs="Arial"/>
          <w:bCs/>
          <w:color w:val="000000"/>
          <w:sz w:val="20"/>
          <w:szCs w:val="20"/>
        </w:rPr>
        <w:t>Les prestations à réaliser seront définies au fur et à mesure des besoins au moyen de bons de commande conformément à l’article R 2162-13 du Code de la commande publique</w:t>
      </w:r>
    </w:p>
    <w:p w14:paraId="781F3C7B" w14:textId="77777777" w:rsidR="008B438A" w:rsidRPr="008B438A" w:rsidRDefault="008B438A" w:rsidP="008B438A">
      <w:pPr>
        <w:rPr>
          <w:rFonts w:ascii="Arial" w:hAnsi="Arial" w:cs="Arial"/>
          <w:sz w:val="20"/>
          <w:szCs w:val="20"/>
        </w:rPr>
      </w:pPr>
      <w:r w:rsidRPr="008B438A">
        <w:rPr>
          <w:rFonts w:ascii="Arial" w:hAnsi="Arial" w:cs="Arial"/>
          <w:b/>
          <w:bCs/>
          <w:i/>
          <w:iCs/>
          <w:sz w:val="20"/>
          <w:szCs w:val="20"/>
        </w:rPr>
        <w:t xml:space="preserve">Obligations relatives au suivi financier du montant maximum </w:t>
      </w:r>
    </w:p>
    <w:p w14:paraId="6160289A" w14:textId="77777777" w:rsidR="008B438A" w:rsidRPr="008B438A" w:rsidRDefault="008B438A" w:rsidP="008B438A">
      <w:pPr>
        <w:rPr>
          <w:rFonts w:ascii="Arial" w:hAnsi="Arial" w:cs="Arial"/>
          <w:sz w:val="20"/>
          <w:szCs w:val="20"/>
        </w:rPr>
      </w:pPr>
      <w:r w:rsidRPr="008B438A">
        <w:rPr>
          <w:rFonts w:ascii="Arial" w:hAnsi="Arial" w:cs="Arial"/>
          <w:sz w:val="20"/>
          <w:szCs w:val="20"/>
        </w:rPr>
        <w:t>Afin de permettre au Pouvoir Adjudicateur de suivre l’exécution financière du présent accord-cadre, le titulaire est tenu d’alerter le Pouvoir Adjudicateur (</w:t>
      </w:r>
      <w:proofErr w:type="spellStart"/>
      <w:r w:rsidRPr="008B438A">
        <w:rPr>
          <w:rFonts w:ascii="Arial" w:hAnsi="Arial" w:cs="Arial"/>
          <w:sz w:val="20"/>
          <w:szCs w:val="20"/>
        </w:rPr>
        <w:t>Cnous</w:t>
      </w:r>
      <w:proofErr w:type="spellEnd"/>
      <w:r w:rsidRPr="008B438A">
        <w:rPr>
          <w:rFonts w:ascii="Arial" w:hAnsi="Arial" w:cs="Arial"/>
          <w:sz w:val="20"/>
          <w:szCs w:val="20"/>
        </w:rPr>
        <w:t xml:space="preserve">) lorsque les consommations atteignent </w:t>
      </w:r>
      <w:r w:rsidRPr="008B438A">
        <w:rPr>
          <w:rFonts w:ascii="Arial" w:hAnsi="Arial" w:cs="Arial"/>
          <w:b/>
          <w:sz w:val="20"/>
          <w:szCs w:val="20"/>
        </w:rPr>
        <w:t>75 % du montant maximal</w:t>
      </w:r>
      <w:r w:rsidRPr="008B438A">
        <w:rPr>
          <w:rFonts w:ascii="Arial" w:hAnsi="Arial" w:cs="Arial"/>
          <w:sz w:val="20"/>
          <w:szCs w:val="20"/>
        </w:rPr>
        <w:t xml:space="preserve"> du présent marché.</w:t>
      </w:r>
    </w:p>
    <w:p w14:paraId="18A36309" w14:textId="77777777" w:rsidR="00612716" w:rsidRDefault="00612716" w:rsidP="00612716">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6" w:name="_Toc189816672"/>
      <w:r w:rsidRPr="00C12F08">
        <w:t>D</w:t>
      </w:r>
      <w:r>
        <w:t xml:space="preserve">UREE </w:t>
      </w:r>
      <w:r w:rsidR="00F70705">
        <w:t>du marché</w:t>
      </w:r>
      <w:bookmarkEnd w:id="6"/>
    </w:p>
    <w:p w14:paraId="149759D8" w14:textId="77777777" w:rsidR="008B438A" w:rsidRPr="008B438A" w:rsidRDefault="008B438A" w:rsidP="008B438A">
      <w:pPr>
        <w:spacing w:before="240" w:after="240"/>
        <w:contextualSpacing/>
        <w:jc w:val="both"/>
        <w:rPr>
          <w:rFonts w:ascii="Arial" w:eastAsia="Times New Roman" w:hAnsi="Arial" w:cs="Arial"/>
          <w:sz w:val="20"/>
          <w:szCs w:val="20"/>
          <w:lang w:eastAsia="fr-FR"/>
        </w:rPr>
      </w:pPr>
      <w:bookmarkStart w:id="7" w:name="_Hlk169530426"/>
      <w:r w:rsidRPr="008B438A">
        <w:rPr>
          <w:rFonts w:ascii="Arial" w:eastAsia="Times New Roman" w:hAnsi="Arial" w:cs="Arial"/>
          <w:sz w:val="20"/>
          <w:szCs w:val="20"/>
          <w:lang w:eastAsia="fr-FR"/>
        </w:rPr>
        <w:t>Le marché prend effet à compter de la date de notification, et ce jusqu’au 30 mars 2027, soit une durée prévisionnelle d’environ dix-sept mois. Il n’est pas renouvelable.</w:t>
      </w:r>
    </w:p>
    <w:bookmarkEnd w:id="7"/>
    <w:p w14:paraId="431FDE48" w14:textId="3E5BE425" w:rsidR="007443B4" w:rsidRPr="008B438A" w:rsidRDefault="007443B4" w:rsidP="007443B4">
      <w:pPr>
        <w:spacing w:before="240" w:line="240" w:lineRule="auto"/>
        <w:rPr>
          <w:rFonts w:ascii="Arial" w:eastAsia="Times New Roman" w:hAnsi="Arial" w:cs="Arial"/>
          <w:b/>
          <w:bCs/>
          <w:sz w:val="20"/>
          <w:szCs w:val="20"/>
          <w:lang w:eastAsia="fr-FR"/>
        </w:rPr>
      </w:pPr>
      <w:r w:rsidRPr="008B438A">
        <w:rPr>
          <w:rFonts w:ascii="Arial" w:eastAsia="Times New Roman" w:hAnsi="Arial" w:cs="Arial"/>
          <w:sz w:val="20"/>
          <w:szCs w:val="20"/>
          <w:lang w:eastAsia="fr-FR"/>
        </w:rPr>
        <w:t>.</w:t>
      </w:r>
      <w:r w:rsidRPr="008B438A">
        <w:rPr>
          <w:rFonts w:ascii="Arial" w:eastAsia="Times New Roman" w:hAnsi="Arial" w:cs="Arial"/>
          <w:b/>
          <w:bCs/>
          <w:sz w:val="20"/>
          <w:szCs w:val="20"/>
          <w:lang w:eastAsia="fr-FR"/>
        </w:rPr>
        <w:t xml:space="preserve"> </w:t>
      </w:r>
    </w:p>
    <w:p w14:paraId="6255CD87" w14:textId="77777777" w:rsidR="00583B86" w:rsidRDefault="00583B86" w:rsidP="00583B86">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8" w:name="_Toc189816673"/>
      <w:r>
        <w:lastRenderedPageBreak/>
        <w:t>PAIEMENT</w:t>
      </w:r>
      <w:bookmarkEnd w:id="8"/>
    </w:p>
    <w:p w14:paraId="178086E7" w14:textId="031FF464" w:rsidR="00026C70" w:rsidRPr="00026C70" w:rsidRDefault="00026C70" w:rsidP="00026C70">
      <w:pPr>
        <w:pStyle w:val="Titre2"/>
      </w:pPr>
      <w:bookmarkStart w:id="9" w:name="_Toc189816674"/>
      <w:r>
        <w:t xml:space="preserve">6-1     </w:t>
      </w:r>
      <w:r w:rsidR="00F85D0E" w:rsidRPr="00E55839">
        <w:t>Désignation du (des) compte(s) à créditer</w:t>
      </w:r>
      <w:bookmarkEnd w:id="9"/>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213E5501" w14:textId="77777777" w:rsidR="00026C70" w:rsidRPr="00E55839" w:rsidRDefault="00026C70" w:rsidP="00026C70">
      <w:pPr>
        <w:pStyle w:val="Titre2"/>
      </w:pPr>
      <w:bookmarkStart w:id="10" w:name="_Toc107310670"/>
      <w:r w:rsidRPr="00E55839">
        <w:t xml:space="preserve">6-2 </w:t>
      </w:r>
      <w:r>
        <w:tab/>
      </w:r>
      <w:r w:rsidRPr="00E55839">
        <w:t>Avance</w:t>
      </w:r>
      <w:bookmarkEnd w:id="10"/>
      <w:r w:rsidRPr="00E55839">
        <w:t xml:space="preserve"> </w:t>
      </w:r>
    </w:p>
    <w:p w14:paraId="5A5103BC" w14:textId="77777777" w:rsidR="0015052E" w:rsidRPr="0015052E" w:rsidRDefault="0015052E" w:rsidP="0015052E">
      <w:pPr>
        <w:keepLines/>
        <w:widowControl w:val="0"/>
        <w:autoSpaceDE w:val="0"/>
        <w:autoSpaceDN w:val="0"/>
        <w:adjustRightInd w:val="0"/>
        <w:spacing w:after="0" w:line="240" w:lineRule="auto"/>
        <w:ind w:left="117" w:right="111"/>
        <w:rPr>
          <w:rFonts w:ascii="Arial" w:hAnsi="Arial" w:cs="Arial"/>
          <w:color w:val="000000"/>
          <w:sz w:val="20"/>
          <w:szCs w:val="20"/>
        </w:rPr>
      </w:pPr>
      <w:r w:rsidRPr="0015052E">
        <w:rPr>
          <w:rFonts w:ascii="Arial" w:hAnsi="Arial" w:cs="Arial"/>
          <w:color w:val="000000"/>
          <w:sz w:val="20"/>
          <w:szCs w:val="20"/>
        </w:rPr>
        <w:t>Une avance est prévue au taux de 5% (10% pour une petite ou moyenne entreprise mentionnée à l’article R. 2151-13 du code de la commande publique), pour les marchés dont le montant est supérieur à 50.000 € HT et dont le délai est supérieur à 2 mois.</w:t>
      </w:r>
    </w:p>
    <w:p w14:paraId="630441A7" w14:textId="77777777" w:rsidR="00026C70" w:rsidRDefault="00026C70" w:rsidP="00026C70">
      <w:pPr>
        <w:keepLines/>
        <w:widowControl w:val="0"/>
        <w:autoSpaceDE w:val="0"/>
        <w:autoSpaceDN w:val="0"/>
        <w:adjustRightInd w:val="0"/>
        <w:spacing w:after="0" w:line="240" w:lineRule="auto"/>
        <w:ind w:right="111"/>
        <w:rPr>
          <w:rFonts w:ascii="Arial" w:hAnsi="Arial" w:cs="Arial"/>
          <w:color w:val="000000"/>
          <w:sz w:val="18"/>
          <w:szCs w:val="18"/>
        </w:rPr>
      </w:pPr>
    </w:p>
    <w:p w14:paraId="35578899" w14:textId="77777777" w:rsidR="00026C70" w:rsidRPr="00E01C22" w:rsidRDefault="00026C70" w:rsidP="00026C70">
      <w:pPr>
        <w:keepLines/>
        <w:widowControl w:val="0"/>
        <w:autoSpaceDE w:val="0"/>
        <w:autoSpaceDN w:val="0"/>
        <w:adjustRightInd w:val="0"/>
        <w:spacing w:after="0" w:line="240" w:lineRule="auto"/>
        <w:ind w:right="111"/>
        <w:rPr>
          <w:rFonts w:ascii="Arial" w:hAnsi="Arial" w:cs="Arial"/>
          <w:color w:val="000000"/>
          <w:sz w:val="18"/>
          <w:szCs w:val="18"/>
        </w:rPr>
      </w:pPr>
    </w:p>
    <w:p w14:paraId="7A2022C1" w14:textId="77777777" w:rsidR="00026C70" w:rsidRDefault="00026C70" w:rsidP="00026C70">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3DE249C3" w14:textId="77777777" w:rsidR="00026C70" w:rsidRDefault="00026C70" w:rsidP="00026C70">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026C70" w14:paraId="0A43803F" w14:textId="77777777" w:rsidTr="00E96E10">
        <w:tc>
          <w:tcPr>
            <w:tcW w:w="3070" w:type="dxa"/>
            <w:tcBorders>
              <w:top w:val="nil"/>
              <w:left w:val="nil"/>
              <w:bottom w:val="nil"/>
              <w:right w:val="single" w:sz="4" w:space="0" w:color="000000"/>
            </w:tcBorders>
            <w:shd w:val="clear" w:color="auto" w:fill="E6E6E6"/>
          </w:tcPr>
          <w:p w14:paraId="2D349D3A" w14:textId="77777777" w:rsidR="00026C70" w:rsidRDefault="00026C70" w:rsidP="00E96E10">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56807650" w14:textId="77777777" w:rsidR="00026C70" w:rsidRDefault="00026C70" w:rsidP="00E96E10">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1947B667" w14:textId="77777777" w:rsidR="00026C70" w:rsidRDefault="00026C70" w:rsidP="00E96E10">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6F2D5100" w14:textId="77777777" w:rsidR="00026C70" w:rsidRDefault="00026C70" w:rsidP="00E96E10">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3889670F" w14:textId="77777777" w:rsidR="00026C70" w:rsidRDefault="00026C70" w:rsidP="00E96E10">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057F8849" w14:textId="01629DA7" w:rsidR="006B7CA2" w:rsidRDefault="006B7CA2" w:rsidP="00126246">
      <w:pPr>
        <w:pStyle w:val="Titre2"/>
        <w:rPr>
          <w:color w:val="000000"/>
        </w:rPr>
      </w:pPr>
    </w:p>
    <w:p w14:paraId="665215BC" w14:textId="77777777" w:rsidR="00CF2D3D" w:rsidRDefault="00CF2D3D">
      <w:pPr>
        <w:rPr>
          <w:rFonts w:ascii="Arial" w:hAnsi="Arial" w:cs="Arial"/>
          <w:color w:val="000000"/>
          <w:sz w:val="20"/>
          <w:szCs w:val="16"/>
        </w:rPr>
      </w:pPr>
    </w:p>
    <w:p w14:paraId="3B1B9BE5" w14:textId="77777777" w:rsidR="00126246" w:rsidRPr="00105D36" w:rsidRDefault="00126246">
      <w:pPr>
        <w:rPr>
          <w:rFonts w:ascii="Arial" w:hAnsi="Arial" w:cs="Arial"/>
          <w:color w:val="000000"/>
          <w:sz w:val="20"/>
          <w:szCs w:val="16"/>
        </w:rPr>
      </w:pPr>
      <w:bookmarkStart w:id="11" w:name="_GoBack"/>
      <w:bookmarkEnd w:id="11"/>
    </w:p>
    <w:p w14:paraId="21EB2018" w14:textId="09B6A55A" w:rsidR="00C72F69" w:rsidRPr="00F85D0E" w:rsidRDefault="00C12F08" w:rsidP="00535202">
      <w:pPr>
        <w:pStyle w:val="Titre1"/>
      </w:pPr>
      <w:bookmarkStart w:id="12" w:name="_Toc189816675"/>
      <w:r>
        <w:t>SIGNATURE PAR LE TITULAIRE</w:t>
      </w:r>
      <w:bookmarkEnd w:id="12"/>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3" w:name="_Toc189816676"/>
      <w:r>
        <w:t>D</w:t>
      </w:r>
      <w:r w:rsidR="00C12F08">
        <w:t>ECISION DU POUVOIR ADJUDICATEUR</w:t>
      </w:r>
      <w:bookmarkEnd w:id="13"/>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bookmarkEnd w:id="1"/>
    <w:bookmarkEnd w:id="0"/>
    <w:p w14:paraId="3BF1B5A7" w14:textId="0E731E1B" w:rsidR="006B3EB1" w:rsidRPr="00126246" w:rsidRDefault="006B3EB1">
      <w:pPr>
        <w:rPr>
          <w:rFonts w:ascii="Arial" w:hAnsi="Arial" w:cs="Arial"/>
          <w:color w:val="000000"/>
          <w:sz w:val="20"/>
          <w:szCs w:val="20"/>
        </w:rPr>
      </w:pPr>
    </w:p>
    <w:sectPr w:rsidR="006B3EB1" w:rsidRPr="00126246">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EDCA88" w16cex:dateUtc="2025-05-22T10:02:00Z"/>
  <w16cex:commentExtensible w16cex:durableId="64CE9986" w16cex:dateUtc="2025-05-22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34BE89" w16cid:durableId="4DEDCA88"/>
  <w16cid:commentId w16cid:paraId="07E678E3" w16cid:durableId="64CE99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E8CC" w14:textId="77777777" w:rsidR="005202C9" w:rsidRDefault="005202C9" w:rsidP="008B7E7F">
      <w:pPr>
        <w:spacing w:after="0" w:line="240" w:lineRule="auto"/>
      </w:pPr>
      <w:r>
        <w:separator/>
      </w:r>
    </w:p>
  </w:endnote>
  <w:endnote w:type="continuationSeparator" w:id="0">
    <w:p w14:paraId="1BD1E09C" w14:textId="77777777" w:rsidR="005202C9" w:rsidRDefault="005202C9"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2000020F" w:usb1="00000003" w:usb2="00000000" w:usb3="00000000" w:csb0="00000197"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5593CBCA" w:rsidR="005202C9" w:rsidRPr="005F5226" w:rsidRDefault="005202C9">
    <w:pPr>
      <w:pStyle w:val="Pieddepage"/>
      <w:rPr>
        <w:noProof/>
        <w:sz w:val="18"/>
        <w:szCs w:val="18"/>
      </w:rPr>
    </w:pP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B30320">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B30320">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ED79" w14:textId="77777777" w:rsidR="005202C9" w:rsidRDefault="005202C9" w:rsidP="008B7E7F">
      <w:pPr>
        <w:spacing w:after="0" w:line="240" w:lineRule="auto"/>
      </w:pPr>
      <w:r>
        <w:separator/>
      </w:r>
    </w:p>
  </w:footnote>
  <w:footnote w:type="continuationSeparator" w:id="0">
    <w:p w14:paraId="0A2A2313" w14:textId="77777777" w:rsidR="005202C9" w:rsidRDefault="005202C9" w:rsidP="008B7E7F">
      <w:pPr>
        <w:spacing w:after="0" w:line="240" w:lineRule="auto"/>
      </w:pPr>
      <w:r>
        <w:continuationSeparator/>
      </w:r>
    </w:p>
  </w:footnote>
  <w:footnote w:id="1">
    <w:p w14:paraId="5048C3FA" w14:textId="77777777" w:rsidR="00F85D0E" w:rsidRPr="00026C70" w:rsidRDefault="00F85D0E" w:rsidP="00F85D0E">
      <w:pPr>
        <w:pStyle w:val="Notedebasdepage"/>
        <w:ind w:left="180" w:hanging="180"/>
        <w:jc w:val="both"/>
        <w:rPr>
          <w:rFonts w:ascii="Arial" w:hAnsi="Arial" w:cs="Arial"/>
          <w:sz w:val="16"/>
          <w:szCs w:val="16"/>
        </w:rPr>
      </w:pPr>
      <w:r w:rsidRPr="00026C70">
        <w:rPr>
          <w:rStyle w:val="Appelnotedebasdep"/>
          <w:rFonts w:ascii="Arial" w:eastAsia="MS Gothic" w:hAnsi="Arial" w:cs="Arial" w:hint="eastAsia"/>
          <w:sz w:val="18"/>
          <w:szCs w:val="18"/>
        </w:rPr>
        <w:footnoteRef/>
      </w:r>
      <w:r w:rsidRPr="00026C70">
        <w:rPr>
          <w:rFonts w:ascii="Arial" w:hAnsi="Arial" w:cs="Arial"/>
          <w:sz w:val="18"/>
          <w:szCs w:val="18"/>
        </w:rPr>
        <w:t xml:space="preserve"> </w:t>
      </w:r>
      <w:r w:rsidRPr="00026C70">
        <w:rPr>
          <w:rFonts w:ascii="Arial" w:hAnsi="Arial" w:cs="Arial"/>
          <w:sz w:val="16"/>
          <w:szCs w:val="16"/>
        </w:rPr>
        <w:t>Conform</w:t>
      </w:r>
      <w:r w:rsidRPr="00026C70">
        <w:rPr>
          <w:rFonts w:ascii="Arial" w:hAnsi="Arial" w:cs="Arial" w:hint="eastAsia"/>
          <w:sz w:val="16"/>
          <w:szCs w:val="16"/>
        </w:rPr>
        <w:t>é</w:t>
      </w:r>
      <w:r w:rsidRPr="00026C70">
        <w:rPr>
          <w:rFonts w:ascii="Arial" w:hAnsi="Arial" w:cs="Arial"/>
          <w:sz w:val="16"/>
          <w:szCs w:val="16"/>
        </w:rPr>
        <w:t xml:space="preserve">ment </w:t>
      </w:r>
      <w:r w:rsidRPr="00026C70">
        <w:rPr>
          <w:rFonts w:ascii="Arial" w:hAnsi="Arial" w:cs="Arial" w:hint="eastAsia"/>
          <w:sz w:val="16"/>
          <w:szCs w:val="16"/>
        </w:rPr>
        <w:t>à</w:t>
      </w:r>
      <w:r w:rsidRPr="00026C70">
        <w:rPr>
          <w:rFonts w:ascii="Arial" w:hAnsi="Arial" w:cs="Arial"/>
          <w:sz w:val="16"/>
          <w:szCs w:val="16"/>
        </w:rPr>
        <w:t xml:space="preserve"> la loi informatique et libert</w:t>
      </w:r>
      <w:r w:rsidRPr="00026C70">
        <w:rPr>
          <w:rFonts w:ascii="Arial" w:hAnsi="Arial" w:cs="Arial" w:hint="eastAsia"/>
          <w:sz w:val="16"/>
          <w:szCs w:val="16"/>
        </w:rPr>
        <w:t>é</w:t>
      </w:r>
      <w:r w:rsidRPr="00026C70">
        <w:rPr>
          <w:rFonts w:ascii="Arial" w:hAnsi="Arial" w:cs="Arial"/>
          <w:sz w:val="16"/>
          <w:szCs w:val="16"/>
        </w:rPr>
        <w:t xml:space="preserve"> du 6 janvier 1978, vous disposez d</w:t>
      </w:r>
      <w:r w:rsidRPr="00026C70">
        <w:rPr>
          <w:rFonts w:ascii="Arial" w:hAnsi="Arial" w:cs="Arial" w:hint="eastAsia"/>
          <w:sz w:val="16"/>
          <w:szCs w:val="16"/>
        </w:rPr>
        <w:t>’</w:t>
      </w:r>
      <w:r w:rsidRPr="00026C70">
        <w:rPr>
          <w:rFonts w:ascii="Arial" w:hAnsi="Arial" w:cs="Arial"/>
          <w:sz w:val="16"/>
          <w:szCs w:val="16"/>
        </w:rPr>
        <w:t>un droit d</w:t>
      </w:r>
      <w:r w:rsidRPr="00026C70">
        <w:rPr>
          <w:rFonts w:ascii="Arial" w:hAnsi="Arial" w:cs="Arial" w:hint="eastAsia"/>
          <w:sz w:val="16"/>
          <w:szCs w:val="16"/>
        </w:rPr>
        <w:t>’</w:t>
      </w:r>
      <w:r w:rsidRPr="00026C70">
        <w:rPr>
          <w:rFonts w:ascii="Arial" w:hAnsi="Arial" w:cs="Arial"/>
          <w:sz w:val="16"/>
          <w:szCs w:val="16"/>
        </w:rPr>
        <w:t>acc</w:t>
      </w:r>
      <w:r w:rsidRPr="00026C70">
        <w:rPr>
          <w:rFonts w:ascii="Arial" w:hAnsi="Arial" w:cs="Arial" w:hint="eastAsia"/>
          <w:sz w:val="16"/>
          <w:szCs w:val="16"/>
        </w:rPr>
        <w:t>è</w:t>
      </w:r>
      <w:r w:rsidRPr="00026C70">
        <w:rPr>
          <w:rFonts w:ascii="Arial" w:hAnsi="Arial" w:cs="Arial"/>
          <w:sz w:val="16"/>
          <w:szCs w:val="16"/>
        </w:rPr>
        <w:t>s aux informations vous concernant, ainsi qu</w:t>
      </w:r>
      <w:r w:rsidRPr="00026C70">
        <w:rPr>
          <w:rFonts w:ascii="Arial" w:hAnsi="Arial" w:cs="Arial" w:hint="eastAsia"/>
          <w:sz w:val="16"/>
          <w:szCs w:val="16"/>
        </w:rPr>
        <w:t>’</w:t>
      </w:r>
      <w:r w:rsidRPr="00026C70">
        <w:rPr>
          <w:rFonts w:ascii="Arial" w:hAnsi="Arial" w:cs="Arial"/>
          <w:sz w:val="16"/>
          <w:szCs w:val="16"/>
        </w:rPr>
        <w:t xml:space="preserve">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3640F"/>
    <w:multiLevelType w:val="hybridMultilevel"/>
    <w:tmpl w:val="E320C2A4"/>
    <w:lvl w:ilvl="0" w:tplc="FCCE202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D73FA6"/>
    <w:multiLevelType w:val="hybridMultilevel"/>
    <w:tmpl w:val="CA92DEE6"/>
    <w:lvl w:ilvl="0" w:tplc="040C0001">
      <w:start w:val="1"/>
      <w:numFmt w:val="bullet"/>
      <w:lvlText w:val=""/>
      <w:lvlJc w:val="left"/>
      <w:pPr>
        <w:ind w:left="720" w:hanging="360"/>
      </w:pPr>
      <w:rPr>
        <w:rFonts w:ascii="Symbol" w:hAnsi="Symbol" w:hint="default"/>
      </w:rPr>
    </w:lvl>
    <w:lvl w:ilvl="1" w:tplc="A4EC8390">
      <w:numFmt w:val="bullet"/>
      <w:lvlText w:val="-"/>
      <w:lvlJc w:val="left"/>
      <w:pPr>
        <w:ind w:left="1440" w:hanging="360"/>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33555E"/>
    <w:multiLevelType w:val="hybridMultilevel"/>
    <w:tmpl w:val="CB786554"/>
    <w:lvl w:ilvl="0" w:tplc="0A88579E">
      <w:start w:val="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FD20102"/>
    <w:multiLevelType w:val="hybridMultilevel"/>
    <w:tmpl w:val="98D2237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7"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F538B4"/>
    <w:multiLevelType w:val="multilevel"/>
    <w:tmpl w:val="BB6221C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0"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4"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C6E4FA5"/>
    <w:multiLevelType w:val="multilevel"/>
    <w:tmpl w:val="6F04790E"/>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7"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5"/>
  </w:num>
  <w:num w:numId="2">
    <w:abstractNumId w:val="38"/>
  </w:num>
  <w:num w:numId="3">
    <w:abstractNumId w:val="44"/>
  </w:num>
  <w:num w:numId="4">
    <w:abstractNumId w:val="47"/>
  </w:num>
  <w:num w:numId="5">
    <w:abstractNumId w:val="4"/>
  </w:num>
  <w:num w:numId="6">
    <w:abstractNumId w:val="7"/>
  </w:num>
  <w:num w:numId="7">
    <w:abstractNumId w:val="33"/>
  </w:num>
  <w:num w:numId="8">
    <w:abstractNumId w:val="8"/>
  </w:num>
  <w:num w:numId="9">
    <w:abstractNumId w:val="37"/>
  </w:num>
  <w:num w:numId="10">
    <w:abstractNumId w:val="21"/>
  </w:num>
  <w:num w:numId="11">
    <w:abstractNumId w:val="1"/>
  </w:num>
  <w:num w:numId="12">
    <w:abstractNumId w:val="39"/>
  </w:num>
  <w:num w:numId="13">
    <w:abstractNumId w:val="42"/>
  </w:num>
  <w:num w:numId="14">
    <w:abstractNumId w:val="35"/>
  </w:num>
  <w:num w:numId="15">
    <w:abstractNumId w:val="22"/>
  </w:num>
  <w:num w:numId="16">
    <w:abstractNumId w:val="24"/>
  </w:num>
  <w:num w:numId="17">
    <w:abstractNumId w:val="31"/>
  </w:num>
  <w:num w:numId="18">
    <w:abstractNumId w:val="17"/>
  </w:num>
  <w:num w:numId="19">
    <w:abstractNumId w:val="25"/>
  </w:num>
  <w:num w:numId="20">
    <w:abstractNumId w:val="16"/>
  </w:num>
  <w:num w:numId="21">
    <w:abstractNumId w:val="41"/>
  </w:num>
  <w:num w:numId="22">
    <w:abstractNumId w:val="27"/>
  </w:num>
  <w:num w:numId="23">
    <w:abstractNumId w:val="29"/>
  </w:num>
  <w:num w:numId="24">
    <w:abstractNumId w:val="40"/>
  </w:num>
  <w:num w:numId="25">
    <w:abstractNumId w:val="0"/>
  </w:num>
  <w:num w:numId="26">
    <w:abstractNumId w:val="3"/>
  </w:num>
  <w:num w:numId="27">
    <w:abstractNumId w:val="30"/>
  </w:num>
  <w:num w:numId="28">
    <w:abstractNumId w:val="19"/>
  </w:num>
  <w:num w:numId="29">
    <w:abstractNumId w:val="12"/>
  </w:num>
  <w:num w:numId="30">
    <w:abstractNumId w:val="28"/>
  </w:num>
  <w:num w:numId="31">
    <w:abstractNumId w:val="14"/>
  </w:num>
  <w:num w:numId="32">
    <w:abstractNumId w:val="9"/>
  </w:num>
  <w:num w:numId="33">
    <w:abstractNumId w:val="45"/>
  </w:num>
  <w:num w:numId="34">
    <w:abstractNumId w:val="10"/>
  </w:num>
  <w:num w:numId="35">
    <w:abstractNumId w:val="11"/>
  </w:num>
  <w:num w:numId="36">
    <w:abstractNumId w:val="13"/>
  </w:num>
  <w:num w:numId="37">
    <w:abstractNumId w:val="23"/>
  </w:num>
  <w:num w:numId="38">
    <w:abstractNumId w:val="6"/>
  </w:num>
  <w:num w:numId="39">
    <w:abstractNumId w:val="43"/>
  </w:num>
  <w:num w:numId="40">
    <w:abstractNumId w:val="15"/>
  </w:num>
  <w:num w:numId="41">
    <w:abstractNumId w:val="34"/>
  </w:num>
  <w:num w:numId="42">
    <w:abstractNumId w:val="32"/>
  </w:num>
  <w:num w:numId="43">
    <w:abstractNumId w:val="20"/>
  </w:num>
  <w:num w:numId="44">
    <w:abstractNumId w:val="18"/>
  </w:num>
  <w:num w:numId="45">
    <w:abstractNumId w:val="26"/>
  </w:num>
  <w:num w:numId="46">
    <w:abstractNumId w:val="2"/>
  </w:num>
  <w:num w:numId="47">
    <w:abstractNumId w:val="36"/>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2AE4"/>
    <w:rsid w:val="00026C70"/>
    <w:rsid w:val="00026F09"/>
    <w:rsid w:val="000277CD"/>
    <w:rsid w:val="00032ED8"/>
    <w:rsid w:val="0004527F"/>
    <w:rsid w:val="00055058"/>
    <w:rsid w:val="00056295"/>
    <w:rsid w:val="00064D31"/>
    <w:rsid w:val="0007565E"/>
    <w:rsid w:val="00093CB0"/>
    <w:rsid w:val="000B42F9"/>
    <w:rsid w:val="000B7BB9"/>
    <w:rsid w:val="000C57DF"/>
    <w:rsid w:val="000D0C82"/>
    <w:rsid w:val="000E1839"/>
    <w:rsid w:val="000F3654"/>
    <w:rsid w:val="000F427F"/>
    <w:rsid w:val="0010061E"/>
    <w:rsid w:val="00100BD9"/>
    <w:rsid w:val="001054DA"/>
    <w:rsid w:val="00105D36"/>
    <w:rsid w:val="00106E55"/>
    <w:rsid w:val="00112EC0"/>
    <w:rsid w:val="0011741A"/>
    <w:rsid w:val="00123263"/>
    <w:rsid w:val="00125263"/>
    <w:rsid w:val="00126246"/>
    <w:rsid w:val="001413C4"/>
    <w:rsid w:val="00146A7D"/>
    <w:rsid w:val="0015052E"/>
    <w:rsid w:val="001633DE"/>
    <w:rsid w:val="001720CE"/>
    <w:rsid w:val="00173B50"/>
    <w:rsid w:val="0017725B"/>
    <w:rsid w:val="00177E1A"/>
    <w:rsid w:val="0018626E"/>
    <w:rsid w:val="0019074E"/>
    <w:rsid w:val="001928A4"/>
    <w:rsid w:val="001957E4"/>
    <w:rsid w:val="001B14AE"/>
    <w:rsid w:val="001D64FF"/>
    <w:rsid w:val="001E4583"/>
    <w:rsid w:val="001E65E4"/>
    <w:rsid w:val="001F154F"/>
    <w:rsid w:val="001F57EF"/>
    <w:rsid w:val="00231CEA"/>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26863"/>
    <w:rsid w:val="003324ED"/>
    <w:rsid w:val="00340E3A"/>
    <w:rsid w:val="00344827"/>
    <w:rsid w:val="003513C8"/>
    <w:rsid w:val="003518E6"/>
    <w:rsid w:val="00363A70"/>
    <w:rsid w:val="00367C08"/>
    <w:rsid w:val="00370C14"/>
    <w:rsid w:val="00374110"/>
    <w:rsid w:val="00392816"/>
    <w:rsid w:val="00393402"/>
    <w:rsid w:val="003B6AF1"/>
    <w:rsid w:val="003C413C"/>
    <w:rsid w:val="003D0785"/>
    <w:rsid w:val="003D7AF2"/>
    <w:rsid w:val="003E07D7"/>
    <w:rsid w:val="00401170"/>
    <w:rsid w:val="0040422B"/>
    <w:rsid w:val="00406125"/>
    <w:rsid w:val="004064D3"/>
    <w:rsid w:val="0042387A"/>
    <w:rsid w:val="00431DD1"/>
    <w:rsid w:val="00433672"/>
    <w:rsid w:val="0045584C"/>
    <w:rsid w:val="00465154"/>
    <w:rsid w:val="00467129"/>
    <w:rsid w:val="00467B22"/>
    <w:rsid w:val="00483D33"/>
    <w:rsid w:val="00483F01"/>
    <w:rsid w:val="00487CFD"/>
    <w:rsid w:val="0049084C"/>
    <w:rsid w:val="004A3381"/>
    <w:rsid w:val="004C0153"/>
    <w:rsid w:val="004E3B03"/>
    <w:rsid w:val="004E5676"/>
    <w:rsid w:val="004F3B89"/>
    <w:rsid w:val="00504D41"/>
    <w:rsid w:val="00506A9A"/>
    <w:rsid w:val="00510761"/>
    <w:rsid w:val="005202C9"/>
    <w:rsid w:val="00520CA4"/>
    <w:rsid w:val="00535202"/>
    <w:rsid w:val="00540483"/>
    <w:rsid w:val="0054082F"/>
    <w:rsid w:val="0056311C"/>
    <w:rsid w:val="005709A2"/>
    <w:rsid w:val="00583B86"/>
    <w:rsid w:val="00595AE1"/>
    <w:rsid w:val="005978E7"/>
    <w:rsid w:val="005A39E4"/>
    <w:rsid w:val="005B46C1"/>
    <w:rsid w:val="005B56BB"/>
    <w:rsid w:val="005C2B68"/>
    <w:rsid w:val="005C7AF0"/>
    <w:rsid w:val="005C7EBE"/>
    <w:rsid w:val="005D4BF7"/>
    <w:rsid w:val="005F0575"/>
    <w:rsid w:val="005F61D2"/>
    <w:rsid w:val="006027B1"/>
    <w:rsid w:val="006113B2"/>
    <w:rsid w:val="00612716"/>
    <w:rsid w:val="00613C5D"/>
    <w:rsid w:val="00632A24"/>
    <w:rsid w:val="00636C2B"/>
    <w:rsid w:val="0065325A"/>
    <w:rsid w:val="00660512"/>
    <w:rsid w:val="0066067E"/>
    <w:rsid w:val="00667E95"/>
    <w:rsid w:val="0067053A"/>
    <w:rsid w:val="00671F5D"/>
    <w:rsid w:val="00685812"/>
    <w:rsid w:val="006A1B57"/>
    <w:rsid w:val="006A301B"/>
    <w:rsid w:val="006A4AED"/>
    <w:rsid w:val="006B3EB1"/>
    <w:rsid w:val="006B7CA2"/>
    <w:rsid w:val="006D29C6"/>
    <w:rsid w:val="006D43E2"/>
    <w:rsid w:val="006D4822"/>
    <w:rsid w:val="006D73C7"/>
    <w:rsid w:val="006E173A"/>
    <w:rsid w:val="006E5593"/>
    <w:rsid w:val="006F37E3"/>
    <w:rsid w:val="006F6A14"/>
    <w:rsid w:val="00700E1A"/>
    <w:rsid w:val="007031D8"/>
    <w:rsid w:val="00710A82"/>
    <w:rsid w:val="00713FF5"/>
    <w:rsid w:val="007143D0"/>
    <w:rsid w:val="0072225E"/>
    <w:rsid w:val="00726728"/>
    <w:rsid w:val="00732343"/>
    <w:rsid w:val="00736C38"/>
    <w:rsid w:val="00743C32"/>
    <w:rsid w:val="007443B4"/>
    <w:rsid w:val="00747F11"/>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35C"/>
    <w:rsid w:val="007B4F73"/>
    <w:rsid w:val="007C2AFC"/>
    <w:rsid w:val="007D4451"/>
    <w:rsid w:val="007D53A4"/>
    <w:rsid w:val="007D7E4A"/>
    <w:rsid w:val="007D97CA"/>
    <w:rsid w:val="007F2729"/>
    <w:rsid w:val="008068A0"/>
    <w:rsid w:val="00823353"/>
    <w:rsid w:val="00840197"/>
    <w:rsid w:val="00840877"/>
    <w:rsid w:val="0084655A"/>
    <w:rsid w:val="008549B3"/>
    <w:rsid w:val="00872582"/>
    <w:rsid w:val="00874E67"/>
    <w:rsid w:val="00882128"/>
    <w:rsid w:val="00894767"/>
    <w:rsid w:val="008A3E80"/>
    <w:rsid w:val="008A45D8"/>
    <w:rsid w:val="008B438A"/>
    <w:rsid w:val="008B765C"/>
    <w:rsid w:val="008B7E7F"/>
    <w:rsid w:val="008C0C39"/>
    <w:rsid w:val="008D2BF6"/>
    <w:rsid w:val="008D4897"/>
    <w:rsid w:val="008D6DB6"/>
    <w:rsid w:val="008E6527"/>
    <w:rsid w:val="008E72D4"/>
    <w:rsid w:val="00903824"/>
    <w:rsid w:val="00907873"/>
    <w:rsid w:val="00911C5E"/>
    <w:rsid w:val="00915E10"/>
    <w:rsid w:val="009246E5"/>
    <w:rsid w:val="009276D1"/>
    <w:rsid w:val="00927AAF"/>
    <w:rsid w:val="00927E48"/>
    <w:rsid w:val="00932534"/>
    <w:rsid w:val="00941A0D"/>
    <w:rsid w:val="00990A5F"/>
    <w:rsid w:val="009955C9"/>
    <w:rsid w:val="00995723"/>
    <w:rsid w:val="0099781E"/>
    <w:rsid w:val="009A02C7"/>
    <w:rsid w:val="009A303D"/>
    <w:rsid w:val="009A61F0"/>
    <w:rsid w:val="009B6883"/>
    <w:rsid w:val="009C570A"/>
    <w:rsid w:val="009E37A2"/>
    <w:rsid w:val="009E7913"/>
    <w:rsid w:val="00A11232"/>
    <w:rsid w:val="00A2156F"/>
    <w:rsid w:val="00A22966"/>
    <w:rsid w:val="00A2296E"/>
    <w:rsid w:val="00A31857"/>
    <w:rsid w:val="00A369C9"/>
    <w:rsid w:val="00A36AA6"/>
    <w:rsid w:val="00A53F92"/>
    <w:rsid w:val="00A55FE6"/>
    <w:rsid w:val="00A60CF5"/>
    <w:rsid w:val="00A61B01"/>
    <w:rsid w:val="00A62038"/>
    <w:rsid w:val="00A72434"/>
    <w:rsid w:val="00A76881"/>
    <w:rsid w:val="00A80046"/>
    <w:rsid w:val="00A95804"/>
    <w:rsid w:val="00AB0F11"/>
    <w:rsid w:val="00AB4055"/>
    <w:rsid w:val="00AB55CA"/>
    <w:rsid w:val="00AC5CBE"/>
    <w:rsid w:val="00AD5B8E"/>
    <w:rsid w:val="00AE423C"/>
    <w:rsid w:val="00AF4DA7"/>
    <w:rsid w:val="00AF6B19"/>
    <w:rsid w:val="00AF7056"/>
    <w:rsid w:val="00B02279"/>
    <w:rsid w:val="00B073F5"/>
    <w:rsid w:val="00B107ED"/>
    <w:rsid w:val="00B11E11"/>
    <w:rsid w:val="00B13F57"/>
    <w:rsid w:val="00B15A86"/>
    <w:rsid w:val="00B25B23"/>
    <w:rsid w:val="00B27AFD"/>
    <w:rsid w:val="00B30320"/>
    <w:rsid w:val="00B3487B"/>
    <w:rsid w:val="00B36AD6"/>
    <w:rsid w:val="00B40B70"/>
    <w:rsid w:val="00B560F1"/>
    <w:rsid w:val="00B6567F"/>
    <w:rsid w:val="00BA1D71"/>
    <w:rsid w:val="00BB49EE"/>
    <w:rsid w:val="00BB783C"/>
    <w:rsid w:val="00BC7806"/>
    <w:rsid w:val="00BD0185"/>
    <w:rsid w:val="00BD0B06"/>
    <w:rsid w:val="00BD379B"/>
    <w:rsid w:val="00BE7A73"/>
    <w:rsid w:val="00BF3D09"/>
    <w:rsid w:val="00BF4E9B"/>
    <w:rsid w:val="00BF5BF7"/>
    <w:rsid w:val="00C01FF0"/>
    <w:rsid w:val="00C052D4"/>
    <w:rsid w:val="00C12F08"/>
    <w:rsid w:val="00C159A7"/>
    <w:rsid w:val="00C2744D"/>
    <w:rsid w:val="00C376D3"/>
    <w:rsid w:val="00C592B3"/>
    <w:rsid w:val="00C6124A"/>
    <w:rsid w:val="00C659BE"/>
    <w:rsid w:val="00C72F69"/>
    <w:rsid w:val="00C901EE"/>
    <w:rsid w:val="00CC0430"/>
    <w:rsid w:val="00CD4127"/>
    <w:rsid w:val="00CF2D3D"/>
    <w:rsid w:val="00D07C9E"/>
    <w:rsid w:val="00D14E06"/>
    <w:rsid w:val="00D167C2"/>
    <w:rsid w:val="00D31502"/>
    <w:rsid w:val="00D46383"/>
    <w:rsid w:val="00D534F0"/>
    <w:rsid w:val="00D57B5D"/>
    <w:rsid w:val="00D74AE3"/>
    <w:rsid w:val="00D85589"/>
    <w:rsid w:val="00D87D6A"/>
    <w:rsid w:val="00D91AB5"/>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56E6"/>
    <w:rsid w:val="00E55839"/>
    <w:rsid w:val="00E7278F"/>
    <w:rsid w:val="00E73CE4"/>
    <w:rsid w:val="00E81FC4"/>
    <w:rsid w:val="00E90CD9"/>
    <w:rsid w:val="00EA0F5B"/>
    <w:rsid w:val="00EB0010"/>
    <w:rsid w:val="00EC40E8"/>
    <w:rsid w:val="00EE6445"/>
    <w:rsid w:val="00F0035A"/>
    <w:rsid w:val="00F01217"/>
    <w:rsid w:val="00F10BEF"/>
    <w:rsid w:val="00F12088"/>
    <w:rsid w:val="00F13805"/>
    <w:rsid w:val="00F16BE4"/>
    <w:rsid w:val="00F303AC"/>
    <w:rsid w:val="00F45254"/>
    <w:rsid w:val="00F70705"/>
    <w:rsid w:val="00F76B7C"/>
    <w:rsid w:val="00F83793"/>
    <w:rsid w:val="00F84347"/>
    <w:rsid w:val="00F85D0E"/>
    <w:rsid w:val="00F96C62"/>
    <w:rsid w:val="00FA64A8"/>
    <w:rsid w:val="00FA79D6"/>
    <w:rsid w:val="00FB3F7C"/>
    <w:rsid w:val="00FB5B28"/>
    <w:rsid w:val="00FC100F"/>
    <w:rsid w:val="00FC1503"/>
    <w:rsid w:val="00FC4ECA"/>
    <w:rsid w:val="00FD4446"/>
    <w:rsid w:val="00FD7FF3"/>
    <w:rsid w:val="00FE0FD1"/>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aliases w:val="corp de texte,Paragraphe de liste1"/>
    <w:basedOn w:val="Normal"/>
    <w:link w:val="ParagraphedelisteCar"/>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 w:type="character" w:customStyle="1" w:styleId="ParagraphedelisteCar">
    <w:name w:val="Paragraphe de liste Car"/>
    <w:aliases w:val="corp de texte Car,Paragraphe de liste1 Car"/>
    <w:link w:val="Paragraphedeliste"/>
    <w:uiPriority w:val="34"/>
    <w:locked/>
    <w:rsid w:val="00BD0185"/>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2388">
      <w:bodyDiv w:val="1"/>
      <w:marLeft w:val="0"/>
      <w:marRight w:val="0"/>
      <w:marTop w:val="0"/>
      <w:marBottom w:val="0"/>
      <w:divBdr>
        <w:top w:val="none" w:sz="0" w:space="0" w:color="auto"/>
        <w:left w:val="none" w:sz="0" w:space="0" w:color="auto"/>
        <w:bottom w:val="none" w:sz="0" w:space="0" w:color="auto"/>
        <w:right w:val="none" w:sz="0" w:space="0" w:color="auto"/>
      </w:divBdr>
    </w:div>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515799355">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 w:id="176803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352AF-1F72-4906-9A91-1AEE9A1C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1087</Words>
  <Characters>5980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34</cp:revision>
  <cp:lastPrinted>2020-06-17T11:52:00Z</cp:lastPrinted>
  <dcterms:created xsi:type="dcterms:W3CDTF">2024-07-03T12:27:00Z</dcterms:created>
  <dcterms:modified xsi:type="dcterms:W3CDTF">2025-07-01T07:04:00Z</dcterms:modified>
</cp:coreProperties>
</file>